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34" w:type="dxa"/>
        <w:tblInd w:w="108" w:type="dxa"/>
        <w:tblLayout w:type="fixed"/>
        <w:tblLook w:val="0000" w:firstRow="0" w:lastRow="0" w:firstColumn="0" w:lastColumn="0" w:noHBand="0" w:noVBand="0"/>
      </w:tblPr>
      <w:tblGrid>
        <w:gridCol w:w="4072"/>
        <w:gridCol w:w="9162"/>
      </w:tblGrid>
      <w:tr w:rsidR="00B71ACF" w:rsidRPr="006547F7" w:rsidTr="00882F39">
        <w:trPr>
          <w:trHeight w:val="674"/>
        </w:trPr>
        <w:tc>
          <w:tcPr>
            <w:tcW w:w="4072" w:type="dxa"/>
          </w:tcPr>
          <w:p w:rsidR="00B71ACF" w:rsidRPr="006547F7" w:rsidRDefault="00B71ACF" w:rsidP="00882F39">
            <w:pPr>
              <w:ind w:firstLine="567"/>
              <w:jc w:val="center"/>
              <w:rPr>
                <w:b/>
                <w:sz w:val="26"/>
                <w:szCs w:val="26"/>
              </w:rPr>
            </w:pPr>
            <w:r w:rsidRPr="006547F7">
              <w:rPr>
                <w:noProof/>
                <w:sz w:val="26"/>
                <w:szCs w:val="26"/>
              </w:rPr>
              <mc:AlternateContent>
                <mc:Choice Requires="wps">
                  <w:drawing>
                    <wp:anchor distT="0" distB="0" distL="114300" distR="114300" simplePos="0" relativeHeight="251659264" behindDoc="0" locked="0" layoutInCell="1" allowOverlap="1" wp14:anchorId="4C8CACC4" wp14:editId="4BCCA768">
                      <wp:simplePos x="0" y="0"/>
                      <wp:positionH relativeFrom="column">
                        <wp:posOffset>1083945</wp:posOffset>
                      </wp:positionH>
                      <wp:positionV relativeFrom="paragraph">
                        <wp:posOffset>348615</wp:posOffset>
                      </wp:positionV>
                      <wp:extent cx="59372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BEDCD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27.45pt" to="132.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TGgIAADUEAAAOAAAAZHJzL2Uyb0RvYy54bWysU8GO2jAQvVfqP1i+QwgbWIgIqyqBXrYt&#10;EtsPMLaTWHVsyzYEVPXfOzYE7W4vVdUcnBnP+PnNzPPq6dxJdOLWCa0KnI4nGHFFNROqKfD3l+1o&#10;gZHzRDEiteIFvnCHn9YfP6x6k/OpbrVk3CIAUS7vTYFb702eJI62vCNurA1XEKy17YgH1zYJs6QH&#10;9E4m08lknvTaMmM15c7BbnUN4nXEr2tO/be6dtwjWWDg5uNq43oIa7JekbyxxLSC3miQf2DREaHg&#10;0jtURTxBRyv+gOoEtdrp2o+p7hJd14LyWANUk07eVbNvieGxFmiOM/c2uf8HS7+edhYJVuApRop0&#10;MKK9t0Q0rUelVgoaqC2ahj71xuWQXqqdDZXSs9qbZ01/OKR02RLV8Mj35WIAJA0nkjdHguMM3Hbo&#10;v2gGOeTodWzaubZdgIR2oHOczeU+G372iMLmbPnwOJ1hRIdQQvLhnLHOf+a6Q8EosBQqdI3k5PTs&#10;fOBB8iElbCu9FVLGyUuF+gIvZ4AcIk5LwUIwOrY5lNKiEwnaiV8s6l2a1UfFIljLCdvcbE+EvNpw&#10;uVQBDyoBOjfrKo6fy8lys9gsslE2nW9G2aSqRp+2ZTaab9PHWfVQlWWV/grU0ixvBWNcBXaDUNPs&#10;74RwezJXid2lem9D8hY99gvIDv9IOo4yTO+qg4Nml50dRgzajMm3dxTE/9oH+/VrX/8GAAD//wMA&#10;UEsDBBQABgAIAAAAIQDSSXRL3QAAAAkBAAAPAAAAZHJzL2Rvd25yZXYueG1sTI/BTsMwDIbvSLxD&#10;ZCQuE0soY4PSdEJAb1wYm7h6rWkrGqdrsq3w9BhxgONvf/r9OVuOrlMHGkLr2cLl1IAiLn3Vcm1h&#10;/Vpc3IAKEbnCzjNZ+KQAy/z0JMO08kd+ocMq1kpKOKRooYmxT7UOZUMOw9T3xLJ794PDKHGodTXg&#10;UcpdpxNj5tphy3KhwZ4eGio/VntnIRQb2hVfk3Ji3q5qT8nu8fkJrT0/G+/vQEUa4x8MP/qiDrk4&#10;bf2eq6A6yQuzENTC9ewWlADJfJaA2v4OdJ7p/x/k3wAAAP//AwBQSwECLQAUAAYACAAAACEAtoM4&#10;kv4AAADhAQAAEwAAAAAAAAAAAAAAAAAAAAAAW0NvbnRlbnRfVHlwZXNdLnhtbFBLAQItABQABgAI&#10;AAAAIQA4/SH/1gAAAJQBAAALAAAAAAAAAAAAAAAAAC8BAABfcmVscy8ucmVsc1BLAQItABQABgAI&#10;AAAAIQB+U2sTGgIAADUEAAAOAAAAAAAAAAAAAAAAAC4CAABkcnMvZTJvRG9jLnhtbFBLAQItABQA&#10;BgAIAAAAIQDSSXRL3QAAAAkBAAAPAAAAAAAAAAAAAAAAAHQEAABkcnMvZG93bnJldi54bWxQSwUG&#10;AAAAAAQABADzAAAAfgUAAAAA&#10;"/>
                  </w:pict>
                </mc:Fallback>
              </mc:AlternateContent>
            </w:r>
            <w:r w:rsidRPr="006547F7">
              <w:rPr>
                <w:b/>
                <w:sz w:val="26"/>
                <w:szCs w:val="26"/>
              </w:rPr>
              <w:t>BỘ TƯ PHÁP</w:t>
            </w:r>
          </w:p>
          <w:p w:rsidR="00B71ACF" w:rsidRPr="006547F7" w:rsidRDefault="00B71ACF" w:rsidP="00882F39">
            <w:pPr>
              <w:pStyle w:val="Caption"/>
              <w:spacing w:before="240"/>
              <w:ind w:left="-108" w:right="-143"/>
              <w:jc w:val="center"/>
              <w:rPr>
                <w:rFonts w:ascii="Times New Roman" w:hAnsi="Times New Roman"/>
                <w:b w:val="0"/>
                <w:i w:val="0"/>
                <w:color w:val="auto"/>
                <w:sz w:val="26"/>
                <w:szCs w:val="26"/>
              </w:rPr>
            </w:pPr>
          </w:p>
        </w:tc>
        <w:tc>
          <w:tcPr>
            <w:tcW w:w="9162" w:type="dxa"/>
          </w:tcPr>
          <w:p w:rsidR="00B71ACF" w:rsidRPr="006547F7" w:rsidRDefault="00B71ACF" w:rsidP="00882F39">
            <w:pPr>
              <w:pStyle w:val="Heading3"/>
              <w:tabs>
                <w:tab w:val="center" w:pos="3042"/>
              </w:tabs>
              <w:spacing w:before="0" w:after="0" w:line="240" w:lineRule="atLeast"/>
              <w:jc w:val="center"/>
              <w:rPr>
                <w:rFonts w:ascii="Times New Roman" w:hAnsi="Times New Roman" w:cs="Times New Roman"/>
              </w:rPr>
            </w:pPr>
            <w:r w:rsidRPr="006547F7">
              <w:rPr>
                <w:rFonts w:ascii="Times New Roman" w:hAnsi="Times New Roman" w:cs="Times New Roman"/>
              </w:rPr>
              <w:t>CỘNG HÒA XÃ HỘI CHỦ NGHĨA VIỆT NAM</w:t>
            </w:r>
          </w:p>
          <w:p w:rsidR="00B71ACF" w:rsidRPr="006547F7" w:rsidRDefault="00B71ACF" w:rsidP="00882F39">
            <w:pPr>
              <w:spacing w:before="0" w:after="0" w:line="240" w:lineRule="atLeast"/>
              <w:ind w:firstLine="567"/>
              <w:jc w:val="center"/>
              <w:rPr>
                <w:i/>
                <w:sz w:val="26"/>
                <w:szCs w:val="26"/>
              </w:rPr>
            </w:pPr>
            <w:r w:rsidRPr="006547F7">
              <w:rPr>
                <w:noProof/>
                <w:sz w:val="26"/>
                <w:szCs w:val="26"/>
              </w:rPr>
              <mc:AlternateContent>
                <mc:Choice Requires="wps">
                  <w:drawing>
                    <wp:anchor distT="0" distB="0" distL="114300" distR="114300" simplePos="0" relativeHeight="251660288" behindDoc="0" locked="0" layoutInCell="1" allowOverlap="1" wp14:anchorId="053F1036" wp14:editId="5F5D8969">
                      <wp:simplePos x="0" y="0"/>
                      <wp:positionH relativeFrom="column">
                        <wp:posOffset>1987550</wp:posOffset>
                      </wp:positionH>
                      <wp:positionV relativeFrom="paragraph">
                        <wp:posOffset>267970</wp:posOffset>
                      </wp:positionV>
                      <wp:extent cx="1985645" cy="0"/>
                      <wp:effectExtent l="12700" t="10160" r="1143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F6EB0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21.1pt" to="312.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EL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xXw6y6cY0dtZQopAEQKNdf491z0KkxJLoYKB&#10;pCDHZ+chCYDeIGFb6Y2QMjaBVGgo8WI6mcYAp6Vg4TDAnG33lbToSEIbxS84AmQPMKsPikWyjhO2&#10;vs49EfIyB7xUgQ9SATnX2aVPvi3SxXq+nuejfDJbj/K0rkfvNlU+mm2yt9P6TV1VdfY9SMvyohOM&#10;cRXU3Xo2y/+uJ66v59Jt966925A8sscUQeztH0XHqoZCXlpir9l5a4MbocDQphF8fVLhHfy6jqif&#10;D3/1AwAA//8DAFBLAwQUAAYACAAAACEAT8wGQ94AAAAJAQAADwAAAGRycy9kb3ducmV2LnhtbEyP&#10;wU7DMBBE70j8g7VI3KhTB0pJ41QVAi5IlSgpZyfeJhH2OordNPx9XXGA4+yMZt/k68kaNuLgO0cS&#10;5rMEGFLtdEeNhPLz9W4JzAdFWhlHKOEHPayL66tcZdqd6APHXWhYLCGfKQltCH3Gua9btMrPXI8U&#10;vYMbrApRDg3XgzrFcmu4SJIFt6qj+KFVPT63WH/vjlbC5uv9Jd2OlXVGPzXlXtsyeRNS3t5MmxWw&#10;gFP4C8MFP6JDEZkqdyTtmZGQztO4JUi4FwJYDCzEwyOw6vfAi5z/X1CcAQAA//8DAFBLAQItABQA&#10;BgAIAAAAIQC2gziS/gAAAOEBAAATAAAAAAAAAAAAAAAAAAAAAABbQ29udGVudF9UeXBlc10ueG1s&#10;UEsBAi0AFAAGAAgAAAAhADj9If/WAAAAlAEAAAsAAAAAAAAAAAAAAAAALwEAAF9yZWxzLy5yZWxz&#10;UEsBAi0AFAAGAAgAAAAhAEoJAQskAgAAQAQAAA4AAAAAAAAAAAAAAAAALgIAAGRycy9lMm9Eb2Mu&#10;eG1sUEsBAi0AFAAGAAgAAAAhAE/MBkPeAAAACQEAAA8AAAAAAAAAAAAAAAAAfgQAAGRycy9kb3du&#10;cmV2LnhtbFBLBQYAAAAABAAEAPMAAACJBQAAAAA=&#10;"/>
                  </w:pict>
                </mc:Fallback>
              </mc:AlternateContent>
            </w:r>
            <w:r w:rsidRPr="006547F7">
              <w:rPr>
                <w:b/>
                <w:sz w:val="26"/>
                <w:szCs w:val="26"/>
              </w:rPr>
              <w:t>Độc lập - Tự do - Hạnh phúc</w:t>
            </w:r>
          </w:p>
        </w:tc>
      </w:tr>
    </w:tbl>
    <w:p w:rsidR="00E8669B" w:rsidRDefault="00E8669B" w:rsidP="00E8669B">
      <w:pPr>
        <w:spacing w:before="240" w:after="0"/>
        <w:ind w:left="-360" w:right="-907"/>
        <w:jc w:val="center"/>
        <w:rPr>
          <w:i/>
          <w:color w:val="000000"/>
          <w:szCs w:val="28"/>
        </w:rPr>
      </w:pPr>
      <w:r>
        <w:rPr>
          <w:i/>
          <w:color w:val="000000"/>
          <w:szCs w:val="28"/>
        </w:rPr>
        <w:t xml:space="preserve">                                </w:t>
      </w:r>
      <w:r w:rsidRPr="00616B1C">
        <w:rPr>
          <w:i/>
          <w:color w:val="000000"/>
          <w:szCs w:val="28"/>
          <w:lang w:val="vi-VN"/>
        </w:rPr>
        <w:t>Hà Nội, ngày</w:t>
      </w:r>
      <w:r w:rsidRPr="00616B1C">
        <w:rPr>
          <w:i/>
          <w:color w:val="000000"/>
          <w:szCs w:val="28"/>
        </w:rPr>
        <w:t xml:space="preserve"> </w:t>
      </w:r>
      <w:r w:rsidR="001015C1">
        <w:rPr>
          <w:i/>
          <w:color w:val="000000"/>
          <w:szCs w:val="28"/>
        </w:rPr>
        <w:t>20</w:t>
      </w:r>
      <w:r w:rsidRPr="00616B1C">
        <w:rPr>
          <w:i/>
          <w:color w:val="000000"/>
          <w:szCs w:val="28"/>
        </w:rPr>
        <w:t xml:space="preserve"> </w:t>
      </w:r>
      <w:r w:rsidRPr="00616B1C">
        <w:rPr>
          <w:i/>
          <w:color w:val="000000"/>
          <w:szCs w:val="28"/>
          <w:lang w:val="vi-VN"/>
        </w:rPr>
        <w:t xml:space="preserve">tháng </w:t>
      </w:r>
      <w:r w:rsidR="001015C1">
        <w:rPr>
          <w:i/>
          <w:color w:val="000000"/>
          <w:szCs w:val="28"/>
        </w:rPr>
        <w:t>10</w:t>
      </w:r>
      <w:r w:rsidRPr="00616B1C">
        <w:rPr>
          <w:i/>
          <w:color w:val="000000"/>
          <w:szCs w:val="28"/>
          <w:lang w:val="vi-VN"/>
        </w:rPr>
        <w:t xml:space="preserve"> năm </w:t>
      </w:r>
      <w:r w:rsidR="001015C1">
        <w:rPr>
          <w:i/>
          <w:color w:val="000000"/>
          <w:szCs w:val="28"/>
        </w:rPr>
        <w:t>2020</w:t>
      </w:r>
    </w:p>
    <w:p w:rsidR="00DF75CA" w:rsidRDefault="00DF75CA" w:rsidP="00E8669B">
      <w:pPr>
        <w:spacing w:before="240" w:after="0"/>
        <w:ind w:left="-360" w:right="-907"/>
        <w:jc w:val="center"/>
        <w:rPr>
          <w:i/>
          <w:color w:val="000000"/>
          <w:szCs w:val="28"/>
        </w:rPr>
      </w:pPr>
    </w:p>
    <w:p w:rsidR="00B71ACF" w:rsidRPr="006547F7" w:rsidRDefault="00B71ACF" w:rsidP="001015C1">
      <w:pPr>
        <w:spacing w:before="0" w:after="0" w:line="240" w:lineRule="auto"/>
        <w:ind w:left="-360" w:right="-907"/>
        <w:jc w:val="center"/>
        <w:rPr>
          <w:b/>
          <w:sz w:val="26"/>
          <w:szCs w:val="26"/>
        </w:rPr>
      </w:pPr>
      <w:r w:rsidRPr="006547F7">
        <w:rPr>
          <w:b/>
          <w:sz w:val="26"/>
          <w:szCs w:val="26"/>
        </w:rPr>
        <w:t xml:space="preserve">BẢN TỔNG HỢP, </w:t>
      </w:r>
      <w:r w:rsidR="00FC7BB4">
        <w:rPr>
          <w:b/>
          <w:sz w:val="26"/>
          <w:szCs w:val="26"/>
        </w:rPr>
        <w:t>GIẢ</w:t>
      </w:r>
      <w:r w:rsidR="002D5982">
        <w:rPr>
          <w:b/>
          <w:sz w:val="26"/>
          <w:szCs w:val="26"/>
        </w:rPr>
        <w:t>I TRÌNH,</w:t>
      </w:r>
      <w:r w:rsidRPr="006547F7">
        <w:rPr>
          <w:b/>
          <w:sz w:val="26"/>
          <w:szCs w:val="26"/>
        </w:rPr>
        <w:t xml:space="preserve"> TIẾP THU Ý KIẾN CỦA CÁC BỘ, NGÀNH, CƠ QUAN, ĐỊA PHƯƠNG</w:t>
      </w:r>
    </w:p>
    <w:p w:rsidR="001015C1" w:rsidRDefault="00B71ACF" w:rsidP="001015C1">
      <w:pPr>
        <w:spacing w:before="0" w:after="0" w:line="240" w:lineRule="auto"/>
        <w:jc w:val="center"/>
        <w:rPr>
          <w:b/>
          <w:sz w:val="27"/>
          <w:szCs w:val="27"/>
        </w:rPr>
      </w:pPr>
      <w:r w:rsidRPr="006547F7">
        <w:rPr>
          <w:b/>
          <w:spacing w:val="-4"/>
          <w:sz w:val="26"/>
          <w:szCs w:val="26"/>
        </w:rPr>
        <w:t xml:space="preserve">Về </w:t>
      </w:r>
      <w:r w:rsidR="001015C1">
        <w:rPr>
          <w:b/>
          <w:spacing w:val="-4"/>
          <w:sz w:val="26"/>
          <w:szCs w:val="26"/>
        </w:rPr>
        <w:t xml:space="preserve">thảo Nghị định </w:t>
      </w:r>
      <w:r w:rsidR="00B905C8">
        <w:rPr>
          <w:b/>
          <w:bCs/>
          <w:color w:val="000000"/>
          <w:sz w:val="27"/>
          <w:szCs w:val="27"/>
        </w:rPr>
        <w:t>s</w:t>
      </w:r>
      <w:r w:rsidR="001015C1" w:rsidRPr="00857CD5">
        <w:rPr>
          <w:b/>
          <w:sz w:val="27"/>
          <w:szCs w:val="27"/>
        </w:rPr>
        <w:t>ửa đổi, bổ sung một số điều của Nghị định số 85/2013/NĐ-CP ngày 29/7/2013</w:t>
      </w:r>
    </w:p>
    <w:p w:rsidR="001015C1" w:rsidRPr="00857CD5" w:rsidRDefault="001015C1" w:rsidP="001015C1">
      <w:pPr>
        <w:spacing w:before="0" w:after="0" w:line="240" w:lineRule="auto"/>
        <w:jc w:val="center"/>
        <w:rPr>
          <w:b/>
          <w:bCs/>
          <w:color w:val="000000"/>
          <w:sz w:val="27"/>
          <w:szCs w:val="27"/>
        </w:rPr>
      </w:pPr>
      <w:r w:rsidRPr="00857CD5">
        <w:rPr>
          <w:b/>
          <w:sz w:val="27"/>
          <w:szCs w:val="27"/>
        </w:rPr>
        <w:t xml:space="preserve"> của Chính phủ quy định chi tiết và biện pháp thi hành </w:t>
      </w:r>
      <w:r w:rsidRPr="00857CD5">
        <w:rPr>
          <w:b/>
          <w:color w:val="000000"/>
          <w:sz w:val="27"/>
          <w:szCs w:val="27"/>
        </w:rPr>
        <w:t>Luật Giám định tư pháp</w:t>
      </w:r>
    </w:p>
    <w:p w:rsidR="00B71ACF" w:rsidRPr="006547F7" w:rsidRDefault="00B71ACF" w:rsidP="008A2DF1">
      <w:pPr>
        <w:spacing w:before="0" w:line="240" w:lineRule="auto"/>
        <w:ind w:left="-357" w:right="-357"/>
        <w:jc w:val="center"/>
        <w:rPr>
          <w:b/>
          <w:spacing w:val="-4"/>
          <w:sz w:val="26"/>
          <w:szCs w:val="26"/>
        </w:rPr>
      </w:pPr>
    </w:p>
    <w:p w:rsidR="001015C1" w:rsidRPr="001F7B9D" w:rsidRDefault="00B71ACF" w:rsidP="001015C1">
      <w:pPr>
        <w:spacing w:before="0" w:after="0" w:line="240" w:lineRule="auto"/>
        <w:ind w:firstLine="720"/>
        <w:jc w:val="both"/>
        <w:rPr>
          <w:szCs w:val="28"/>
        </w:rPr>
      </w:pPr>
      <w:r w:rsidRPr="001F7B9D">
        <w:rPr>
          <w:szCs w:val="28"/>
        </w:rPr>
        <w:t>Thực hiện nhiệm vụ được giao, Bộ Tư pháp chủ trì, phối hợp với các cơ quan có liên quan xây dự</w:t>
      </w:r>
      <w:r w:rsidR="002D5982" w:rsidRPr="001F7B9D">
        <w:rPr>
          <w:szCs w:val="28"/>
        </w:rPr>
        <w:t xml:space="preserve">ng </w:t>
      </w:r>
      <w:r w:rsidR="001015C1" w:rsidRPr="001F7B9D">
        <w:rPr>
          <w:spacing w:val="-4"/>
          <w:szCs w:val="28"/>
        </w:rPr>
        <w:t xml:space="preserve">Nghị định </w:t>
      </w:r>
      <w:r w:rsidR="00B905C8">
        <w:rPr>
          <w:bCs/>
          <w:color w:val="000000"/>
          <w:szCs w:val="28"/>
        </w:rPr>
        <w:t>s</w:t>
      </w:r>
      <w:r w:rsidR="001015C1" w:rsidRPr="001F7B9D">
        <w:rPr>
          <w:szCs w:val="28"/>
        </w:rPr>
        <w:t xml:space="preserve">ửa đổi, bổ sung một số điều của Nghị định số 85/2013/NĐ-CP ngày 29/7/2013của Chính phủ quy định chi tiết và biện pháp thi hành </w:t>
      </w:r>
      <w:r w:rsidR="001015C1" w:rsidRPr="001F7B9D">
        <w:rPr>
          <w:color w:val="000000"/>
          <w:szCs w:val="28"/>
        </w:rPr>
        <w:t>Luật Giám định tư pháp</w:t>
      </w:r>
    </w:p>
    <w:p w:rsidR="00B71ACF" w:rsidRPr="001F7B9D" w:rsidRDefault="00B71ACF" w:rsidP="002D5982">
      <w:pPr>
        <w:ind w:right="-29" w:firstLine="786"/>
        <w:jc w:val="both"/>
        <w:rPr>
          <w:szCs w:val="28"/>
        </w:rPr>
      </w:pPr>
      <w:r w:rsidRPr="001F7B9D">
        <w:rPr>
          <w:szCs w:val="28"/>
        </w:rPr>
        <w:t xml:space="preserve">Ngày </w:t>
      </w:r>
      <w:r w:rsidR="001015C1" w:rsidRPr="001F7B9D">
        <w:rPr>
          <w:szCs w:val="28"/>
        </w:rPr>
        <w:t>29/9/2020</w:t>
      </w:r>
      <w:r w:rsidRPr="001F7B9D">
        <w:rPr>
          <w:szCs w:val="28"/>
        </w:rPr>
        <w:t>, Bộ Tư pháp có Công văn số</w:t>
      </w:r>
      <w:r w:rsidR="001015C1" w:rsidRPr="001F7B9D">
        <w:rPr>
          <w:szCs w:val="28"/>
        </w:rPr>
        <w:t xml:space="preserve"> 3617</w:t>
      </w:r>
      <w:r w:rsidRPr="001F7B9D">
        <w:rPr>
          <w:szCs w:val="28"/>
        </w:rPr>
        <w:t>/BTP-BTTP</w:t>
      </w:r>
      <w:r w:rsidR="00D3621F" w:rsidRPr="001F7B9D">
        <w:rPr>
          <w:szCs w:val="28"/>
        </w:rPr>
        <w:t xml:space="preserve"> gửi</w:t>
      </w:r>
      <w:r w:rsidR="002D5982" w:rsidRPr="001F7B9D">
        <w:rPr>
          <w:szCs w:val="28"/>
        </w:rPr>
        <w:t xml:space="preserve"> các B</w:t>
      </w:r>
      <w:r w:rsidRPr="001F7B9D">
        <w:rPr>
          <w:szCs w:val="28"/>
        </w:rPr>
        <w:t>ộ, ngành, cơ quan có liên quan và</w:t>
      </w:r>
      <w:r w:rsidR="00D3621F" w:rsidRPr="001F7B9D">
        <w:rPr>
          <w:szCs w:val="28"/>
        </w:rPr>
        <w:t xml:space="preserve"> </w:t>
      </w:r>
      <w:r w:rsidRPr="001F7B9D">
        <w:rPr>
          <w:szCs w:val="28"/>
        </w:rPr>
        <w:t>63 tỉ</w:t>
      </w:r>
      <w:r w:rsidR="00AC0676" w:rsidRPr="001F7B9D">
        <w:rPr>
          <w:szCs w:val="28"/>
        </w:rPr>
        <w:t>nh, thành ph</w:t>
      </w:r>
      <w:r w:rsidRPr="001F7B9D">
        <w:rPr>
          <w:szCs w:val="28"/>
        </w:rPr>
        <w:t>ố trực thuộc trung ương</w:t>
      </w:r>
      <w:r w:rsidR="00D3621F" w:rsidRPr="001F7B9D">
        <w:rPr>
          <w:szCs w:val="28"/>
        </w:rPr>
        <w:t xml:space="preserve"> đề nghị góp ý kiến bằng văn bản đối </w:t>
      </w:r>
      <w:r w:rsidRPr="001F7B9D">
        <w:rPr>
          <w:szCs w:val="28"/>
        </w:rPr>
        <w:t xml:space="preserve">với </w:t>
      </w:r>
      <w:r w:rsidR="001015C1" w:rsidRPr="001F7B9D">
        <w:rPr>
          <w:szCs w:val="28"/>
        </w:rPr>
        <w:t>dự thảo Nghị định</w:t>
      </w:r>
      <w:r w:rsidR="00727D08" w:rsidRPr="001F7B9D">
        <w:rPr>
          <w:szCs w:val="28"/>
        </w:rPr>
        <w:t>.</w:t>
      </w:r>
      <w:r w:rsidRPr="001F7B9D">
        <w:rPr>
          <w:szCs w:val="28"/>
        </w:rPr>
        <w:t xml:space="preserve"> </w:t>
      </w:r>
    </w:p>
    <w:p w:rsidR="00B71ACF" w:rsidRDefault="001015C1" w:rsidP="001F7B9D">
      <w:pPr>
        <w:ind w:right="-29" w:firstLine="720"/>
        <w:jc w:val="both"/>
        <w:rPr>
          <w:szCs w:val="28"/>
        </w:rPr>
      </w:pPr>
      <w:r w:rsidRPr="001F7B9D">
        <w:rPr>
          <w:szCs w:val="28"/>
        </w:rPr>
        <w:t>Đến nay</w:t>
      </w:r>
      <w:r w:rsidR="00B71ACF" w:rsidRPr="001F7B9D">
        <w:rPr>
          <w:szCs w:val="28"/>
        </w:rPr>
        <w:t xml:space="preserve">, Bộ Tư pháp đã nhận được </w:t>
      </w:r>
      <w:r w:rsidR="000C4036">
        <w:rPr>
          <w:szCs w:val="28"/>
        </w:rPr>
        <w:t>4</w:t>
      </w:r>
      <w:r w:rsidR="001F7B9D" w:rsidRPr="001F7B9D">
        <w:rPr>
          <w:szCs w:val="28"/>
        </w:rPr>
        <w:t>4 Công văn góp ý của Bộ, ngành và địa phương</w:t>
      </w:r>
      <w:r w:rsidR="00B71ACF" w:rsidRPr="001F7B9D">
        <w:rPr>
          <w:szCs w:val="28"/>
        </w:rPr>
        <w:t xml:space="preserve">. Trên cơ sở ý kiến </w:t>
      </w:r>
      <w:r w:rsidR="00727D08" w:rsidRPr="001F7B9D">
        <w:rPr>
          <w:szCs w:val="28"/>
        </w:rPr>
        <w:t xml:space="preserve">góp ý </w:t>
      </w:r>
      <w:r w:rsidR="00B71ACF" w:rsidRPr="001F7B9D">
        <w:rPr>
          <w:szCs w:val="28"/>
        </w:rPr>
        <w:t xml:space="preserve">của các </w:t>
      </w:r>
      <w:r w:rsidR="00D3621F" w:rsidRPr="001F7B9D">
        <w:rPr>
          <w:szCs w:val="28"/>
        </w:rPr>
        <w:t>B</w:t>
      </w:r>
      <w:r w:rsidR="00B71ACF" w:rsidRPr="001F7B9D">
        <w:rPr>
          <w:szCs w:val="28"/>
        </w:rPr>
        <w:t xml:space="preserve">ộ, ngành, địa phương, Bộ Tư pháp tổng </w:t>
      </w:r>
      <w:bookmarkStart w:id="0" w:name="_GoBack"/>
      <w:bookmarkEnd w:id="0"/>
      <w:r w:rsidR="00B71ACF" w:rsidRPr="001F7B9D">
        <w:rPr>
          <w:szCs w:val="28"/>
        </w:rPr>
        <w:t>hợp, tiếp thu, giải trình các ý kiến tham gia như sau:</w:t>
      </w:r>
    </w:p>
    <w:p w:rsidR="001F7B9D" w:rsidRPr="001F7B9D" w:rsidRDefault="001F7B9D" w:rsidP="001F7B9D">
      <w:pPr>
        <w:ind w:right="-29" w:firstLine="720"/>
        <w:jc w:val="both"/>
        <w:rPr>
          <w:szCs w:val="28"/>
        </w:rPr>
      </w:pPr>
    </w:p>
    <w:tbl>
      <w:tblPr>
        <w:tblStyle w:val="TableGrid"/>
        <w:tblW w:w="13964" w:type="dxa"/>
        <w:tblInd w:w="108" w:type="dxa"/>
        <w:tblLook w:val="04A0" w:firstRow="1" w:lastRow="0" w:firstColumn="1" w:lastColumn="0" w:noHBand="0" w:noVBand="1"/>
      </w:tblPr>
      <w:tblGrid>
        <w:gridCol w:w="2243"/>
        <w:gridCol w:w="5767"/>
        <w:gridCol w:w="5954"/>
      </w:tblGrid>
      <w:tr w:rsidR="00D05FBC" w:rsidRPr="001F7B9D" w:rsidTr="00D05FBC">
        <w:trPr>
          <w:cantSplit/>
          <w:tblHeader/>
        </w:trPr>
        <w:tc>
          <w:tcPr>
            <w:tcW w:w="2243" w:type="dxa"/>
          </w:tcPr>
          <w:p w:rsidR="00D05FBC" w:rsidRPr="001F7B9D" w:rsidRDefault="00D05FBC" w:rsidP="002D5982">
            <w:pPr>
              <w:widowControl w:val="0"/>
              <w:jc w:val="center"/>
              <w:rPr>
                <w:b/>
                <w:szCs w:val="28"/>
              </w:rPr>
            </w:pPr>
            <w:r w:rsidRPr="001F7B9D">
              <w:rPr>
                <w:b/>
                <w:szCs w:val="28"/>
              </w:rPr>
              <w:t>Nội dung</w:t>
            </w:r>
          </w:p>
        </w:tc>
        <w:tc>
          <w:tcPr>
            <w:tcW w:w="5767" w:type="dxa"/>
          </w:tcPr>
          <w:p w:rsidR="00D05FBC" w:rsidRPr="001F7B9D" w:rsidRDefault="00D05FBC" w:rsidP="002D5982">
            <w:pPr>
              <w:widowControl w:val="0"/>
              <w:jc w:val="center"/>
              <w:rPr>
                <w:b/>
                <w:szCs w:val="28"/>
              </w:rPr>
            </w:pPr>
            <w:r w:rsidRPr="001F7B9D">
              <w:rPr>
                <w:b/>
                <w:szCs w:val="28"/>
              </w:rPr>
              <w:t>Ý kiến góp ý/Cơ quan góp ý kiến</w:t>
            </w:r>
          </w:p>
        </w:tc>
        <w:tc>
          <w:tcPr>
            <w:tcW w:w="5954" w:type="dxa"/>
          </w:tcPr>
          <w:p w:rsidR="00D05FBC" w:rsidRDefault="00D05FBC" w:rsidP="002D5982">
            <w:pPr>
              <w:widowControl w:val="0"/>
              <w:jc w:val="center"/>
              <w:rPr>
                <w:b/>
                <w:szCs w:val="28"/>
              </w:rPr>
            </w:pPr>
            <w:r w:rsidRPr="001F7B9D">
              <w:rPr>
                <w:b/>
                <w:szCs w:val="28"/>
              </w:rPr>
              <w:t>Tiếp thu/giải trình</w:t>
            </w:r>
          </w:p>
          <w:p w:rsidR="001F7B9D" w:rsidRPr="001F7B9D" w:rsidRDefault="001F7B9D" w:rsidP="002D5982">
            <w:pPr>
              <w:widowControl w:val="0"/>
              <w:jc w:val="center"/>
              <w:rPr>
                <w:b/>
                <w:szCs w:val="28"/>
              </w:rPr>
            </w:pPr>
          </w:p>
        </w:tc>
      </w:tr>
      <w:tr w:rsidR="00D05FBC" w:rsidRPr="001F7B9D" w:rsidTr="00D05FBC">
        <w:tc>
          <w:tcPr>
            <w:tcW w:w="13964" w:type="dxa"/>
            <w:gridSpan w:val="3"/>
          </w:tcPr>
          <w:p w:rsidR="00D05FBC" w:rsidRDefault="00EC1EEF" w:rsidP="002D5982">
            <w:pPr>
              <w:widowControl w:val="0"/>
              <w:jc w:val="both"/>
              <w:rPr>
                <w:b/>
                <w:szCs w:val="28"/>
              </w:rPr>
            </w:pPr>
            <w:r w:rsidRPr="001F7B9D">
              <w:rPr>
                <w:b/>
                <w:szCs w:val="28"/>
              </w:rPr>
              <w:t xml:space="preserve">1. </w:t>
            </w:r>
            <w:r w:rsidR="00D05FBC" w:rsidRPr="001F7B9D">
              <w:rPr>
                <w:b/>
                <w:szCs w:val="28"/>
              </w:rPr>
              <w:t>Phạm vi sửa đổi, bổ sung</w:t>
            </w:r>
          </w:p>
          <w:p w:rsidR="001F7B9D" w:rsidRPr="001F7B9D" w:rsidRDefault="001F7B9D" w:rsidP="002D5982">
            <w:pPr>
              <w:widowControl w:val="0"/>
              <w:jc w:val="both"/>
              <w:rPr>
                <w:b/>
                <w:szCs w:val="28"/>
              </w:rPr>
            </w:pPr>
          </w:p>
        </w:tc>
      </w:tr>
      <w:tr w:rsidR="00D05FBC" w:rsidRPr="001F7B9D" w:rsidTr="00D05FBC">
        <w:tc>
          <w:tcPr>
            <w:tcW w:w="2243" w:type="dxa"/>
          </w:tcPr>
          <w:p w:rsidR="00D05FBC" w:rsidRPr="001F7B9D" w:rsidRDefault="00D05FBC" w:rsidP="002D5982">
            <w:pPr>
              <w:widowControl w:val="0"/>
              <w:rPr>
                <w:szCs w:val="28"/>
              </w:rPr>
            </w:pPr>
          </w:p>
        </w:tc>
        <w:tc>
          <w:tcPr>
            <w:tcW w:w="5767" w:type="dxa"/>
          </w:tcPr>
          <w:p w:rsidR="00D05FBC" w:rsidRPr="001F7B9D" w:rsidRDefault="00D05FBC" w:rsidP="002D5982">
            <w:pPr>
              <w:widowControl w:val="0"/>
              <w:jc w:val="both"/>
              <w:rPr>
                <w:szCs w:val="28"/>
              </w:rPr>
            </w:pPr>
            <w:r w:rsidRPr="001F7B9D">
              <w:rPr>
                <w:szCs w:val="28"/>
              </w:rPr>
              <w:t>Đề nghị bổ sung về chế độ đối với người giám định tư pháp trong phạm vi điều chỉnh vì trong Nghị đị</w:t>
            </w:r>
            <w:r w:rsidR="001F7B9D">
              <w:rPr>
                <w:szCs w:val="28"/>
              </w:rPr>
              <w:t xml:space="preserve">nh có </w:t>
            </w:r>
            <w:r w:rsidRPr="001F7B9D">
              <w:rPr>
                <w:szCs w:val="28"/>
              </w:rPr>
              <w:t>quy định nội dung này (Hà Giang)</w:t>
            </w:r>
            <w:r w:rsidR="001F7B9D">
              <w:rPr>
                <w:szCs w:val="28"/>
              </w:rPr>
              <w:t>.</w:t>
            </w:r>
          </w:p>
        </w:tc>
        <w:tc>
          <w:tcPr>
            <w:tcW w:w="5954" w:type="dxa"/>
          </w:tcPr>
          <w:p w:rsidR="001F7B9D" w:rsidRDefault="00D05FBC" w:rsidP="002D5982">
            <w:pPr>
              <w:widowControl w:val="0"/>
              <w:jc w:val="both"/>
              <w:rPr>
                <w:szCs w:val="28"/>
                <w:lang w:val="nl-NL"/>
              </w:rPr>
            </w:pPr>
            <w:r w:rsidRPr="001F7B9D">
              <w:rPr>
                <w:szCs w:val="28"/>
                <w:lang w:val="nl-NL"/>
              </w:rPr>
              <w:t>Dự thảo Nghị định</w:t>
            </w:r>
            <w:r w:rsidR="001F7B9D">
              <w:rPr>
                <w:szCs w:val="28"/>
                <w:lang w:val="nl-NL"/>
              </w:rPr>
              <w:t xml:space="preserve"> không sửa đổi, bổ sung về chế độ chính sách đối với người giám định tư pháp nên đề nghị không bổ sung nội dung này trong phạm vi điều chỉnh.</w:t>
            </w:r>
          </w:p>
          <w:p w:rsidR="001F7B9D" w:rsidRPr="001F7B9D" w:rsidRDefault="00D05FBC" w:rsidP="001F7B9D">
            <w:pPr>
              <w:widowControl w:val="0"/>
              <w:jc w:val="both"/>
              <w:rPr>
                <w:szCs w:val="28"/>
                <w:lang w:val="nl-NL"/>
              </w:rPr>
            </w:pPr>
            <w:r w:rsidRPr="001F7B9D">
              <w:rPr>
                <w:szCs w:val="28"/>
                <w:lang w:val="nl-NL"/>
              </w:rPr>
              <w:t xml:space="preserve"> </w:t>
            </w:r>
          </w:p>
        </w:tc>
      </w:tr>
      <w:tr w:rsidR="00D05FBC" w:rsidRPr="001F7B9D" w:rsidTr="00D05FBC">
        <w:tc>
          <w:tcPr>
            <w:tcW w:w="13964" w:type="dxa"/>
            <w:gridSpan w:val="3"/>
          </w:tcPr>
          <w:p w:rsidR="00D05FBC" w:rsidRDefault="00EC1EEF" w:rsidP="002D5982">
            <w:pPr>
              <w:widowControl w:val="0"/>
              <w:jc w:val="both"/>
              <w:rPr>
                <w:b/>
                <w:szCs w:val="28"/>
                <w:lang w:val="nl-NL"/>
              </w:rPr>
            </w:pPr>
            <w:r w:rsidRPr="001F7B9D">
              <w:rPr>
                <w:b/>
                <w:szCs w:val="28"/>
                <w:lang w:val="nl-NL"/>
              </w:rPr>
              <w:lastRenderedPageBreak/>
              <w:t xml:space="preserve">2. </w:t>
            </w:r>
            <w:r w:rsidR="00D05FBC" w:rsidRPr="001F7B9D">
              <w:rPr>
                <w:b/>
                <w:szCs w:val="28"/>
                <w:lang w:val="nl-NL"/>
              </w:rPr>
              <w:t>Giám định viên tư pháp</w:t>
            </w:r>
          </w:p>
          <w:p w:rsidR="001F7B9D" w:rsidRPr="001F7B9D" w:rsidRDefault="001F7B9D" w:rsidP="002D5982">
            <w:pPr>
              <w:widowControl w:val="0"/>
              <w:jc w:val="both"/>
              <w:rPr>
                <w:b/>
                <w:szCs w:val="28"/>
                <w:lang w:val="nl-NL"/>
              </w:rPr>
            </w:pPr>
          </w:p>
        </w:tc>
      </w:tr>
      <w:tr w:rsidR="00D05FBC" w:rsidRPr="001F7B9D" w:rsidTr="00D05FBC">
        <w:tc>
          <w:tcPr>
            <w:tcW w:w="2243" w:type="dxa"/>
            <w:vMerge w:val="restart"/>
          </w:tcPr>
          <w:p w:rsidR="00D05FBC" w:rsidRPr="001F7B9D" w:rsidRDefault="00D05FBC" w:rsidP="002D5982">
            <w:pPr>
              <w:widowControl w:val="0"/>
              <w:jc w:val="both"/>
              <w:rPr>
                <w:szCs w:val="28"/>
                <w:lang w:val="nl-NL"/>
              </w:rPr>
            </w:pPr>
          </w:p>
        </w:tc>
        <w:tc>
          <w:tcPr>
            <w:tcW w:w="5767" w:type="dxa"/>
          </w:tcPr>
          <w:p w:rsidR="00D05FBC" w:rsidRPr="001F7B9D" w:rsidRDefault="00D05FBC" w:rsidP="002D5982">
            <w:pPr>
              <w:widowControl w:val="0"/>
              <w:jc w:val="both"/>
              <w:rPr>
                <w:szCs w:val="28"/>
                <w:lang w:val="nl-NL"/>
              </w:rPr>
            </w:pPr>
            <w:r w:rsidRPr="001F7B9D">
              <w:rPr>
                <w:szCs w:val="28"/>
                <w:lang w:val="nl-NL"/>
              </w:rPr>
              <w:t>Việc cấp thẻ giám định viên tư pháp nên chia thành 02 trường hợp:</w:t>
            </w:r>
          </w:p>
          <w:p w:rsidR="00D05FBC" w:rsidRPr="001F7B9D" w:rsidRDefault="00D05FBC" w:rsidP="002D5982">
            <w:pPr>
              <w:widowControl w:val="0"/>
              <w:jc w:val="both"/>
              <w:rPr>
                <w:szCs w:val="28"/>
                <w:lang w:val="nl-NL"/>
              </w:rPr>
            </w:pPr>
            <w:r w:rsidRPr="001F7B9D">
              <w:rPr>
                <w:szCs w:val="28"/>
                <w:lang w:val="nl-NL"/>
              </w:rPr>
              <w:t>- Đối với trường hợp đã bổ nhiệm trước ngày 01/01/2021: Sở Tư pháp làm đầu mối chủ trì.</w:t>
            </w:r>
          </w:p>
          <w:p w:rsidR="00D05FBC" w:rsidRPr="001F7B9D" w:rsidRDefault="00D05FBC" w:rsidP="002D5982">
            <w:pPr>
              <w:widowControl w:val="0"/>
              <w:jc w:val="both"/>
              <w:rPr>
                <w:szCs w:val="28"/>
                <w:lang w:val="nl-NL"/>
              </w:rPr>
            </w:pPr>
            <w:r w:rsidRPr="001F7B9D">
              <w:rPr>
                <w:szCs w:val="28"/>
                <w:lang w:val="nl-NL"/>
              </w:rPr>
              <w:t>- Đối với trường hợp bổ nhiệm theo Luật mới: Giao cơ quan chuyên môn thuộc UBND tỉnh chủ trì (Lai Châu)</w:t>
            </w:r>
            <w:r w:rsidR="001F7B9D">
              <w:rPr>
                <w:szCs w:val="28"/>
                <w:lang w:val="nl-NL"/>
              </w:rPr>
              <w:t>.</w:t>
            </w:r>
            <w:r w:rsidRPr="001F7B9D">
              <w:rPr>
                <w:szCs w:val="28"/>
                <w:lang w:val="nl-NL"/>
              </w:rPr>
              <w:t xml:space="preserve"> </w:t>
            </w:r>
          </w:p>
          <w:p w:rsidR="00D05FBC" w:rsidRPr="001F7B9D" w:rsidRDefault="00D05FBC" w:rsidP="002E27F4">
            <w:pPr>
              <w:widowControl w:val="0"/>
              <w:jc w:val="both"/>
              <w:rPr>
                <w:szCs w:val="28"/>
                <w:lang w:val="nl-NL"/>
              </w:rPr>
            </w:pPr>
            <w:r w:rsidRPr="001F7B9D">
              <w:rPr>
                <w:szCs w:val="28"/>
                <w:lang w:val="nl-NL"/>
              </w:rPr>
              <w:t>- Đề nghị giao cơ quan chuyên môn thuộc UBND cấp tỉnh chủ trì giúp UBND tỉnh cấp thẻ giám định viên tư pháp, Sở Tư pháp là cơ quan phối hợp (Bà Rịa- Vũng Tàu</w:t>
            </w:r>
            <w:r w:rsidR="00096561" w:rsidRPr="001F7B9D">
              <w:rPr>
                <w:szCs w:val="28"/>
                <w:lang w:val="nl-NL"/>
              </w:rPr>
              <w:t>, Ninh Bình</w:t>
            </w:r>
            <w:r w:rsidR="00513147" w:rsidRPr="001F7B9D">
              <w:rPr>
                <w:szCs w:val="28"/>
                <w:lang w:val="nl-NL"/>
              </w:rPr>
              <w:t>, Hải Phòng, Khánh Hòa</w:t>
            </w:r>
            <w:r w:rsidR="002E27F4">
              <w:rPr>
                <w:szCs w:val="28"/>
                <w:lang w:val="nl-NL"/>
              </w:rPr>
              <w:t>, Bắ</w:t>
            </w:r>
            <w:r w:rsidR="00B905C8">
              <w:rPr>
                <w:szCs w:val="28"/>
                <w:lang w:val="nl-NL"/>
              </w:rPr>
              <w:t>c Kạ</w:t>
            </w:r>
            <w:r w:rsidR="002E27F4">
              <w:rPr>
                <w:szCs w:val="28"/>
                <w:lang w:val="nl-NL"/>
              </w:rPr>
              <w:t>n</w:t>
            </w:r>
            <w:r w:rsidR="00B905C8">
              <w:rPr>
                <w:szCs w:val="28"/>
                <w:lang w:val="nl-NL"/>
              </w:rPr>
              <w:t>)</w:t>
            </w:r>
            <w:r w:rsidR="001F7B9D">
              <w:rPr>
                <w:szCs w:val="28"/>
                <w:lang w:val="nl-NL"/>
              </w:rPr>
              <w:t>.</w:t>
            </w:r>
          </w:p>
        </w:tc>
        <w:tc>
          <w:tcPr>
            <w:tcW w:w="5954" w:type="dxa"/>
            <w:vMerge w:val="restart"/>
          </w:tcPr>
          <w:p w:rsidR="00D05FBC" w:rsidRPr="001F7B9D" w:rsidRDefault="00EC1EEF" w:rsidP="002D5982">
            <w:pPr>
              <w:widowControl w:val="0"/>
              <w:jc w:val="both"/>
              <w:rPr>
                <w:szCs w:val="28"/>
                <w:lang w:val="nl-NL"/>
              </w:rPr>
            </w:pPr>
            <w:r w:rsidRPr="001F7B9D">
              <w:rPr>
                <w:szCs w:val="28"/>
                <w:lang w:val="nl-NL"/>
              </w:rPr>
              <w:t xml:space="preserve">Giải trình: </w:t>
            </w:r>
            <w:r w:rsidRPr="001F7B9D">
              <w:rPr>
                <w:szCs w:val="28"/>
              </w:rPr>
              <w:t xml:space="preserve">Luật sửa đổi, bổ sung quy định: </w:t>
            </w:r>
            <w:r w:rsidRPr="001F7B9D">
              <w:rPr>
                <w:i/>
                <w:szCs w:val="28"/>
              </w:rPr>
              <w:t>“Người có thẩm quyền bổ nhiệm giám định viên tư pháp quy định tại khoản 1 Điều này có thẩm quyền cấp mới, cấp lại thẻ giám định viên tư pháp</w:t>
            </w:r>
            <w:r w:rsidRPr="001F7B9D">
              <w:rPr>
                <w:szCs w:val="28"/>
              </w:rPr>
              <w:t>” (khoản 5 Điều 1). Như vậy, ở địa phương Chủ tịch Ủy ban nhân dân cấp tỉnh là người có thẩm quyền cấp thẻ cho giám định viên tư pháp. Đặc thù của giám định tư pháp là giám định viên tư pháp có ở tất cả các lĩnh vực thuộc thẩm quyền quản lý của nhiều cơ quan khác nhau ở địa phương, trong khi đó, thẻ do Chủ tịch Ủy ban nhân dân cấp tỉnh cấp cần phải được thực hiện thống nhất (mẫu thẻ theo đúng quy định, số thẻ phải được quản lý có hệ thống). Theo quy định thì Sở Tư pháp là cơ quan giúp Ủy ban nhân dân cấp tỉnh quản lý chung về hoạt động giám định tư pháp ở địa phương. Do vậy, dự thảo Nghị định quy định theo hướng Sở Tư pháp “</w:t>
            </w:r>
            <w:r w:rsidRPr="001F7B9D">
              <w:rPr>
                <w:i/>
                <w:color w:val="000000"/>
                <w:szCs w:val="28"/>
              </w:rPr>
              <w:t>đ) Chủ trì, phối hợp với cơ quan chuyên môn thuộc Ủy ban nhân dân cấp tỉnh trong việc giúp Chủ tịch Ủy ban nhân dân cấp, thu hồi thẻ giám định viên tư pháp (sửa đổi, bổ sung khoản 1 Điều 28).</w:t>
            </w:r>
            <w:r w:rsidRPr="001F7B9D">
              <w:rPr>
                <w:color w:val="000000"/>
                <w:szCs w:val="28"/>
              </w:rPr>
              <w:t xml:space="preserve"> </w:t>
            </w:r>
          </w:p>
        </w:tc>
      </w:tr>
      <w:tr w:rsidR="00D05FBC" w:rsidRPr="001F7B9D" w:rsidTr="00D05FBC">
        <w:trPr>
          <w:trHeight w:val="562"/>
        </w:trPr>
        <w:tc>
          <w:tcPr>
            <w:tcW w:w="2243" w:type="dxa"/>
            <w:vMerge/>
          </w:tcPr>
          <w:p w:rsidR="00D05FBC" w:rsidRPr="001F7B9D" w:rsidRDefault="00D05FBC" w:rsidP="002D5982">
            <w:pPr>
              <w:widowControl w:val="0"/>
              <w:jc w:val="both"/>
              <w:rPr>
                <w:szCs w:val="28"/>
                <w:lang w:val="nl-NL"/>
              </w:rPr>
            </w:pPr>
          </w:p>
        </w:tc>
        <w:tc>
          <w:tcPr>
            <w:tcW w:w="5767" w:type="dxa"/>
          </w:tcPr>
          <w:p w:rsidR="00D05FBC" w:rsidRPr="001F7B9D" w:rsidRDefault="00D05FBC" w:rsidP="002D5982">
            <w:pPr>
              <w:widowControl w:val="0"/>
              <w:jc w:val="both"/>
              <w:rPr>
                <w:spacing w:val="-2"/>
                <w:szCs w:val="28"/>
                <w:lang w:val="nl-NL"/>
              </w:rPr>
            </w:pPr>
            <w:r w:rsidRPr="001F7B9D">
              <w:rPr>
                <w:spacing w:val="-2"/>
                <w:szCs w:val="28"/>
                <w:lang w:val="nl-NL"/>
              </w:rPr>
              <w:t>Việc thu hồi thẻ giao cho Sở Tư pháp (Lai Châu)</w:t>
            </w:r>
          </w:p>
        </w:tc>
        <w:tc>
          <w:tcPr>
            <w:tcW w:w="5954" w:type="dxa"/>
            <w:vMerge/>
          </w:tcPr>
          <w:p w:rsidR="00D05FBC" w:rsidRPr="001F7B9D" w:rsidRDefault="00D05FBC" w:rsidP="002D5982">
            <w:pPr>
              <w:widowControl w:val="0"/>
              <w:jc w:val="both"/>
              <w:rPr>
                <w:szCs w:val="28"/>
                <w:lang w:val="vi-VN"/>
              </w:rPr>
            </w:pPr>
          </w:p>
        </w:tc>
      </w:tr>
      <w:tr w:rsidR="00D05FBC" w:rsidRPr="001F7B9D" w:rsidTr="00D05FBC">
        <w:trPr>
          <w:trHeight w:val="562"/>
        </w:trPr>
        <w:tc>
          <w:tcPr>
            <w:tcW w:w="2243" w:type="dxa"/>
            <w:vMerge/>
          </w:tcPr>
          <w:p w:rsidR="00D05FBC" w:rsidRPr="001F7B9D" w:rsidRDefault="00D05FBC" w:rsidP="002D5982">
            <w:pPr>
              <w:widowControl w:val="0"/>
              <w:jc w:val="both"/>
              <w:rPr>
                <w:szCs w:val="28"/>
                <w:lang w:val="nl-NL"/>
              </w:rPr>
            </w:pPr>
          </w:p>
        </w:tc>
        <w:tc>
          <w:tcPr>
            <w:tcW w:w="5767" w:type="dxa"/>
          </w:tcPr>
          <w:p w:rsidR="00D05FBC" w:rsidRPr="001F7B9D" w:rsidRDefault="00EC1EEF" w:rsidP="002D5982">
            <w:pPr>
              <w:widowControl w:val="0"/>
              <w:jc w:val="both"/>
              <w:rPr>
                <w:szCs w:val="28"/>
                <w:lang w:val="nl-NL"/>
              </w:rPr>
            </w:pPr>
            <w:r w:rsidRPr="001F7B9D">
              <w:rPr>
                <w:szCs w:val="28"/>
                <w:lang w:val="nl-NL"/>
              </w:rPr>
              <w:t>Đ</w:t>
            </w:r>
            <w:r w:rsidR="00D05FBC" w:rsidRPr="001F7B9D">
              <w:rPr>
                <w:szCs w:val="28"/>
                <w:lang w:val="nl-NL"/>
              </w:rPr>
              <w:t>ề nghị quy định rõ thêm trường hợp giám định viên đã nghỉ hưu chưa được miễn nhiệm, chuyển công tác sang tỉnh khác, ngành nghề khác khi thực hiện cấp nhận đăng tải danh sách (Gia Lai)</w:t>
            </w:r>
            <w:r w:rsidR="001F7B9D">
              <w:rPr>
                <w:szCs w:val="28"/>
                <w:lang w:val="nl-NL"/>
              </w:rPr>
              <w:t>.</w:t>
            </w:r>
          </w:p>
        </w:tc>
        <w:tc>
          <w:tcPr>
            <w:tcW w:w="5954" w:type="dxa"/>
          </w:tcPr>
          <w:p w:rsidR="00D05FBC" w:rsidRPr="001F7B9D" w:rsidRDefault="00EC1EEF" w:rsidP="002D5982">
            <w:pPr>
              <w:widowControl w:val="0"/>
              <w:jc w:val="both"/>
              <w:rPr>
                <w:szCs w:val="28"/>
                <w:lang w:val="nl-NL"/>
              </w:rPr>
            </w:pPr>
            <w:r w:rsidRPr="001F7B9D">
              <w:rPr>
                <w:szCs w:val="28"/>
                <w:lang w:val="nl-NL"/>
              </w:rPr>
              <w:t>Luật sửa đổi, bổ sung một số điều của Luật Giám định tư pháp đã quy định nội dung này tại khoản 6 Điều 1.</w:t>
            </w:r>
          </w:p>
        </w:tc>
      </w:tr>
      <w:tr w:rsidR="00D05FBC" w:rsidRPr="001F7B9D" w:rsidTr="00D05FBC">
        <w:trPr>
          <w:trHeight w:val="562"/>
        </w:trPr>
        <w:tc>
          <w:tcPr>
            <w:tcW w:w="2243" w:type="dxa"/>
            <w:vMerge/>
          </w:tcPr>
          <w:p w:rsidR="00D05FBC" w:rsidRPr="001F7B9D" w:rsidRDefault="00D05FBC" w:rsidP="002D5982">
            <w:pPr>
              <w:widowControl w:val="0"/>
              <w:jc w:val="both"/>
              <w:rPr>
                <w:szCs w:val="28"/>
                <w:lang w:val="nl-NL"/>
              </w:rPr>
            </w:pPr>
          </w:p>
        </w:tc>
        <w:tc>
          <w:tcPr>
            <w:tcW w:w="5767" w:type="dxa"/>
          </w:tcPr>
          <w:p w:rsidR="00D05FBC" w:rsidRPr="001F7B9D" w:rsidRDefault="00D65097" w:rsidP="002D5982">
            <w:pPr>
              <w:widowControl w:val="0"/>
              <w:jc w:val="both"/>
              <w:rPr>
                <w:szCs w:val="28"/>
                <w:lang w:val="nl-NL"/>
              </w:rPr>
            </w:pPr>
            <w:r w:rsidRPr="001F7B9D">
              <w:rPr>
                <w:szCs w:val="28"/>
                <w:lang w:val="nl-NL"/>
              </w:rPr>
              <w:t>Đề nghị bổ sung quy định việc cấp lại thẻ giám định viên tư pháp trong trường hợp bị mờ, bị mất</w:t>
            </w:r>
            <w:r w:rsidR="001F7B9D">
              <w:rPr>
                <w:szCs w:val="28"/>
                <w:lang w:val="nl-NL"/>
              </w:rPr>
              <w:t>.</w:t>
            </w:r>
          </w:p>
        </w:tc>
        <w:tc>
          <w:tcPr>
            <w:tcW w:w="5954" w:type="dxa"/>
          </w:tcPr>
          <w:p w:rsidR="00D05FBC" w:rsidRPr="001F7B9D" w:rsidRDefault="00D65097" w:rsidP="002D5982">
            <w:pPr>
              <w:widowControl w:val="0"/>
              <w:jc w:val="both"/>
              <w:rPr>
                <w:szCs w:val="28"/>
                <w:lang w:val="nl-NL"/>
              </w:rPr>
            </w:pPr>
            <w:r w:rsidRPr="001F7B9D">
              <w:rPr>
                <w:szCs w:val="28"/>
                <w:lang w:val="nl-NL"/>
              </w:rPr>
              <w:t>Nội dung này sẽ được quy định cụ thể trong Thông tư của Bộ Tư pháp về việc cấp thẻ giám định viên tư pháp (hiện đang được Bộ Tư pháp soạn thảo đồng thời vớ</w:t>
            </w:r>
            <w:r w:rsidR="001F7B9D">
              <w:rPr>
                <w:szCs w:val="28"/>
                <w:lang w:val="nl-NL"/>
              </w:rPr>
              <w:t>i D</w:t>
            </w:r>
            <w:r w:rsidRPr="001F7B9D">
              <w:rPr>
                <w:szCs w:val="28"/>
                <w:lang w:val="nl-NL"/>
              </w:rPr>
              <w:t>ự thảo Nghị định)</w:t>
            </w:r>
          </w:p>
        </w:tc>
      </w:tr>
      <w:tr w:rsidR="00D05FBC" w:rsidRPr="001F7B9D" w:rsidTr="00D05FBC">
        <w:tc>
          <w:tcPr>
            <w:tcW w:w="2243" w:type="dxa"/>
            <w:vMerge w:val="restart"/>
          </w:tcPr>
          <w:p w:rsidR="00D05FBC" w:rsidRPr="001F7B9D" w:rsidRDefault="00EC1EEF" w:rsidP="00A762C7">
            <w:pPr>
              <w:widowControl w:val="0"/>
              <w:jc w:val="both"/>
              <w:rPr>
                <w:b/>
                <w:szCs w:val="28"/>
              </w:rPr>
            </w:pPr>
            <w:r w:rsidRPr="001F7B9D">
              <w:rPr>
                <w:b/>
                <w:szCs w:val="28"/>
              </w:rPr>
              <w:t xml:space="preserve">3. </w:t>
            </w:r>
            <w:r w:rsidR="00D05FBC" w:rsidRPr="001F7B9D">
              <w:rPr>
                <w:b/>
                <w:szCs w:val="28"/>
              </w:rPr>
              <w:t>Tổ chức</w:t>
            </w:r>
            <w:r w:rsidR="001F7B9D">
              <w:rPr>
                <w:b/>
                <w:szCs w:val="28"/>
              </w:rPr>
              <w:t xml:space="preserve"> giám định tư pháp theo vụ việc</w:t>
            </w:r>
            <w:r w:rsidR="00D05FBC" w:rsidRPr="001F7B9D">
              <w:rPr>
                <w:b/>
                <w:szCs w:val="28"/>
              </w:rPr>
              <w:t>, người giám định tư pháp theo vụ việc</w:t>
            </w:r>
          </w:p>
        </w:tc>
        <w:tc>
          <w:tcPr>
            <w:tcW w:w="5767" w:type="dxa"/>
          </w:tcPr>
          <w:p w:rsidR="00D05FBC" w:rsidRPr="001F7B9D" w:rsidRDefault="00D05FBC" w:rsidP="002D5982">
            <w:pPr>
              <w:widowControl w:val="0"/>
              <w:jc w:val="both"/>
              <w:rPr>
                <w:szCs w:val="28"/>
              </w:rPr>
            </w:pPr>
            <w:r w:rsidRPr="001F7B9D">
              <w:rPr>
                <w:szCs w:val="28"/>
              </w:rPr>
              <w:t>Dự thảo quy định về công nhận, hủy bỏ công nhận người giám định tư pháp theo vụ việc tổ chức giám định tư pháp theo vụ việc nhưng chưa rõ đối tượng được công nhận là thuộc thẩm quyền quản lý trực của bộ, cơ quan ngang Bộ, cơ quan  thuộc Chính phủ, Ủy ban nhân dân cấp tỉnh hay bất kỳ đối tượng nào (Bộ VHTTDL)</w:t>
            </w:r>
            <w:r w:rsidR="001F7B9D">
              <w:rPr>
                <w:szCs w:val="28"/>
              </w:rPr>
              <w:t>.</w:t>
            </w:r>
          </w:p>
        </w:tc>
        <w:tc>
          <w:tcPr>
            <w:tcW w:w="5954" w:type="dxa"/>
          </w:tcPr>
          <w:p w:rsidR="00D05FBC" w:rsidRPr="001F7B9D" w:rsidRDefault="00EC1EEF" w:rsidP="0001296A">
            <w:pPr>
              <w:widowControl w:val="0"/>
              <w:jc w:val="both"/>
              <w:rPr>
                <w:szCs w:val="28"/>
              </w:rPr>
            </w:pPr>
            <w:r w:rsidRPr="001F7B9D">
              <w:rPr>
                <w:szCs w:val="28"/>
              </w:rPr>
              <w:t>Luật sửa đổi, bổ sung một số điều của Luật Giám định tư pháp đã quy định thẩm quyền này tại khoản 10 Điều 1.</w:t>
            </w:r>
          </w:p>
        </w:tc>
      </w:tr>
      <w:tr w:rsidR="00D05FBC" w:rsidRPr="001F7B9D" w:rsidTr="00D05FBC">
        <w:tc>
          <w:tcPr>
            <w:tcW w:w="2243" w:type="dxa"/>
            <w:vMerge/>
          </w:tcPr>
          <w:p w:rsidR="00D05FBC" w:rsidRPr="001F7B9D" w:rsidRDefault="00D05FBC" w:rsidP="002D5982">
            <w:pPr>
              <w:widowControl w:val="0"/>
              <w:rPr>
                <w:szCs w:val="28"/>
              </w:rPr>
            </w:pPr>
          </w:p>
        </w:tc>
        <w:tc>
          <w:tcPr>
            <w:tcW w:w="5767" w:type="dxa"/>
          </w:tcPr>
          <w:p w:rsidR="00D05FBC" w:rsidRPr="001F7B9D" w:rsidRDefault="00D05FBC" w:rsidP="002D5982">
            <w:pPr>
              <w:widowControl w:val="0"/>
              <w:jc w:val="both"/>
              <w:rPr>
                <w:color w:val="FF0000"/>
                <w:szCs w:val="28"/>
              </w:rPr>
            </w:pPr>
            <w:r w:rsidRPr="001F7B9D">
              <w:rPr>
                <w:szCs w:val="28"/>
              </w:rPr>
              <w:t>Bỏ cụm từ “cơ quan thuộc Chính phủ” vì cơ quan này  không liên quan đến việc công nhận, hủy bỏ công nhận người, tổ chức giám định tư pháp theo vụ việc (Bộ Quốc phòng)</w:t>
            </w:r>
            <w:r w:rsidR="001F7B9D">
              <w:rPr>
                <w:szCs w:val="28"/>
              </w:rPr>
              <w:t>.</w:t>
            </w:r>
          </w:p>
        </w:tc>
        <w:tc>
          <w:tcPr>
            <w:tcW w:w="5954" w:type="dxa"/>
          </w:tcPr>
          <w:p w:rsidR="00D05FBC" w:rsidRPr="001F7B9D" w:rsidRDefault="00EC1EEF" w:rsidP="002D5982">
            <w:pPr>
              <w:widowControl w:val="0"/>
              <w:jc w:val="both"/>
              <w:rPr>
                <w:szCs w:val="28"/>
              </w:rPr>
            </w:pPr>
            <w:r w:rsidRPr="001F7B9D">
              <w:rPr>
                <w:szCs w:val="28"/>
              </w:rPr>
              <w:t>Theo quy định của Luật sửa đổi, bổ sung một số điều của Luật Giám định tư pháp (khoản 23 Điều 1) thì Cơ quan thuộc Chính phủ có nhiệm vụ, quyền hạn “công nhận danh sách người giám định tư pháp theo vụ việc, tổ chức giám định tư pháp theo vụ việc...”</w:t>
            </w:r>
            <w:r w:rsidR="001F7B9D">
              <w:rPr>
                <w:szCs w:val="28"/>
              </w:rPr>
              <w:t>.</w:t>
            </w:r>
          </w:p>
        </w:tc>
      </w:tr>
      <w:tr w:rsidR="00D05FBC" w:rsidRPr="001F7B9D" w:rsidTr="00D05FBC">
        <w:tc>
          <w:tcPr>
            <w:tcW w:w="2243" w:type="dxa"/>
            <w:vMerge/>
          </w:tcPr>
          <w:p w:rsidR="00D05FBC" w:rsidRPr="001F7B9D" w:rsidRDefault="00D05FBC" w:rsidP="002D5982">
            <w:pPr>
              <w:widowControl w:val="0"/>
              <w:rPr>
                <w:szCs w:val="28"/>
              </w:rPr>
            </w:pPr>
          </w:p>
        </w:tc>
        <w:tc>
          <w:tcPr>
            <w:tcW w:w="5767" w:type="dxa"/>
          </w:tcPr>
          <w:p w:rsidR="00D05FBC" w:rsidRPr="001F7B9D" w:rsidRDefault="00D05FBC" w:rsidP="00C0174C">
            <w:pPr>
              <w:widowControl w:val="0"/>
              <w:jc w:val="both"/>
              <w:rPr>
                <w:color w:val="FF0000"/>
                <w:szCs w:val="28"/>
              </w:rPr>
            </w:pPr>
            <w:r w:rsidRPr="001F7B9D">
              <w:rPr>
                <w:szCs w:val="28"/>
              </w:rPr>
              <w:t>Quy định tại khoản 6 Điều 2 về lập, công bố người giám định tư pháp theo vụ việc, tổ chức giám định tư pháp theo vụ việc đã được trước ngày 01/01/2021 chưa rõ về thẩm quyền, trình tự xác định “còn đủ tiêu chuẩn”; đồng thời chưa có cơ chế rà soát, xử lý đối với người không còn đủ tiêu chuẩn (Hà Tĩnh)</w:t>
            </w:r>
            <w:r w:rsidR="001F7B9D">
              <w:rPr>
                <w:szCs w:val="28"/>
              </w:rPr>
              <w:t>.</w:t>
            </w:r>
          </w:p>
        </w:tc>
        <w:tc>
          <w:tcPr>
            <w:tcW w:w="5954" w:type="dxa"/>
          </w:tcPr>
          <w:p w:rsidR="00D05FBC" w:rsidRPr="001F7B9D" w:rsidRDefault="00EC1EEF" w:rsidP="002D5982">
            <w:pPr>
              <w:widowControl w:val="0"/>
              <w:jc w:val="both"/>
              <w:rPr>
                <w:szCs w:val="28"/>
              </w:rPr>
            </w:pPr>
            <w:r w:rsidRPr="001F7B9D">
              <w:rPr>
                <w:szCs w:val="28"/>
              </w:rPr>
              <w:t>Các cơ quan quản lý nhà nước trên cơ sở chức năng, nhiệm vụ của mình, đối chiếu với tiêu chuẩn quy định của Luật Giám định tư pháp để thực hiện.</w:t>
            </w:r>
          </w:p>
        </w:tc>
      </w:tr>
      <w:tr w:rsidR="00D05FBC" w:rsidRPr="001F7B9D" w:rsidTr="00D05FBC">
        <w:tc>
          <w:tcPr>
            <w:tcW w:w="2243" w:type="dxa"/>
            <w:vMerge/>
          </w:tcPr>
          <w:p w:rsidR="00D05FBC" w:rsidRPr="001F7B9D" w:rsidRDefault="00D05FBC" w:rsidP="002D5982">
            <w:pPr>
              <w:widowControl w:val="0"/>
              <w:rPr>
                <w:szCs w:val="28"/>
              </w:rPr>
            </w:pPr>
          </w:p>
        </w:tc>
        <w:tc>
          <w:tcPr>
            <w:tcW w:w="5767" w:type="dxa"/>
          </w:tcPr>
          <w:p w:rsidR="00D05FBC" w:rsidRPr="001F7B9D" w:rsidRDefault="00D05FBC" w:rsidP="002D5982">
            <w:pPr>
              <w:widowControl w:val="0"/>
              <w:jc w:val="both"/>
              <w:rPr>
                <w:szCs w:val="28"/>
              </w:rPr>
            </w:pPr>
            <w:r w:rsidRPr="001F7B9D">
              <w:rPr>
                <w:szCs w:val="28"/>
              </w:rPr>
              <w:t xml:space="preserve">Quy định tại khoản 6 Điều 1 chưa rõ có hủy bỏ quyết định công nhận đối với người giám định tư pháp theo vụ việc, tổ chức giám định tư pháp </w:t>
            </w:r>
            <w:r w:rsidRPr="001F7B9D">
              <w:rPr>
                <w:szCs w:val="28"/>
              </w:rPr>
              <w:lastRenderedPageBreak/>
              <w:t>theo vụ việc được công bố trước ngày 01/01/2020 không vì cá nhân, tổ chức này trước đây không có quyết định công nhận (Lai Châu)</w:t>
            </w:r>
            <w:r w:rsidR="001F7B9D">
              <w:rPr>
                <w:szCs w:val="28"/>
              </w:rPr>
              <w:t>.</w:t>
            </w:r>
          </w:p>
        </w:tc>
        <w:tc>
          <w:tcPr>
            <w:tcW w:w="5954" w:type="dxa"/>
          </w:tcPr>
          <w:p w:rsidR="00D05FBC" w:rsidRPr="001F7B9D" w:rsidRDefault="00EC1EEF" w:rsidP="002D5982">
            <w:pPr>
              <w:widowControl w:val="0"/>
              <w:jc w:val="both"/>
              <w:rPr>
                <w:szCs w:val="28"/>
                <w:highlight w:val="yellow"/>
              </w:rPr>
            </w:pPr>
            <w:r w:rsidRPr="001F7B9D">
              <w:rPr>
                <w:szCs w:val="28"/>
              </w:rPr>
              <w:lastRenderedPageBreak/>
              <w:t>Bộ Tư pháp xin nghiên cứu, tiế</w:t>
            </w:r>
            <w:r w:rsidR="001F7B9D">
              <w:rPr>
                <w:szCs w:val="28"/>
              </w:rPr>
              <w:t>p thu và đã chỉnh lý lại khoản 4 và khoản 5 Điều 23 được sửa đổi, bổ sung.</w:t>
            </w:r>
          </w:p>
        </w:tc>
      </w:tr>
      <w:tr w:rsidR="000C4036" w:rsidRPr="001F7B9D" w:rsidTr="00D05FBC">
        <w:tc>
          <w:tcPr>
            <w:tcW w:w="2243" w:type="dxa"/>
            <w:vMerge w:val="restart"/>
          </w:tcPr>
          <w:p w:rsidR="000C4036" w:rsidRPr="001F7B9D" w:rsidRDefault="000C4036" w:rsidP="002D5982">
            <w:pPr>
              <w:widowControl w:val="0"/>
              <w:jc w:val="both"/>
              <w:rPr>
                <w:b/>
                <w:szCs w:val="28"/>
              </w:rPr>
            </w:pPr>
            <w:r w:rsidRPr="001F7B9D">
              <w:rPr>
                <w:b/>
                <w:szCs w:val="28"/>
              </w:rPr>
              <w:lastRenderedPageBreak/>
              <w:t>4. Thủ tục hành chính</w:t>
            </w:r>
          </w:p>
        </w:tc>
        <w:tc>
          <w:tcPr>
            <w:tcW w:w="5767" w:type="dxa"/>
          </w:tcPr>
          <w:p w:rsidR="000C4036" w:rsidRPr="001F7B9D" w:rsidRDefault="000C4036" w:rsidP="002D5982">
            <w:pPr>
              <w:widowControl w:val="0"/>
              <w:jc w:val="both"/>
              <w:rPr>
                <w:szCs w:val="28"/>
              </w:rPr>
            </w:pPr>
            <w:r w:rsidRPr="001F7B9D">
              <w:rPr>
                <w:szCs w:val="28"/>
              </w:rPr>
              <w:t>Đề nghị quy định thủ tục hành chính liên quan đến giám định tư pháp (Bộ Quốc phòng)</w:t>
            </w:r>
            <w:r>
              <w:rPr>
                <w:szCs w:val="28"/>
              </w:rPr>
              <w:t>.</w:t>
            </w:r>
          </w:p>
          <w:p w:rsidR="000C4036" w:rsidRPr="001F7B9D" w:rsidRDefault="000C4036" w:rsidP="002D5982">
            <w:pPr>
              <w:widowControl w:val="0"/>
              <w:jc w:val="both"/>
              <w:rPr>
                <w:szCs w:val="28"/>
              </w:rPr>
            </w:pPr>
          </w:p>
        </w:tc>
        <w:tc>
          <w:tcPr>
            <w:tcW w:w="5954" w:type="dxa"/>
          </w:tcPr>
          <w:p w:rsidR="000C4036" w:rsidRPr="001F7B9D" w:rsidRDefault="000C4036" w:rsidP="002D5982">
            <w:pPr>
              <w:widowControl w:val="0"/>
              <w:jc w:val="both"/>
              <w:rPr>
                <w:szCs w:val="28"/>
              </w:rPr>
            </w:pPr>
            <w:r w:rsidRPr="001F7B9D">
              <w:rPr>
                <w:szCs w:val="28"/>
              </w:rPr>
              <w:t>Các thủ tục hành chính</w:t>
            </w:r>
            <w:r>
              <w:rPr>
                <w:szCs w:val="28"/>
              </w:rPr>
              <w:t xml:space="preserve"> về giám định tư pháp đã và sẽ được quy định trong Luật Giám định tư pháp, Luật sửa đổi, bổ sung, Nghị định số 85/2013/NĐ-CP, Thông tư của Bộ Tư pháp. Dự thảo chỉ quy định về số lượng hồ sơ, cách thức nộp hồ sơ mà các văn bản này chưa quy định.</w:t>
            </w:r>
          </w:p>
        </w:tc>
      </w:tr>
      <w:tr w:rsidR="000C4036" w:rsidRPr="001F7B9D" w:rsidTr="00D05FBC">
        <w:tc>
          <w:tcPr>
            <w:tcW w:w="2243" w:type="dxa"/>
            <w:vMerge/>
          </w:tcPr>
          <w:p w:rsidR="000C4036" w:rsidRPr="001F7B9D" w:rsidRDefault="000C4036" w:rsidP="002D5982">
            <w:pPr>
              <w:widowControl w:val="0"/>
              <w:jc w:val="both"/>
              <w:rPr>
                <w:szCs w:val="28"/>
              </w:rPr>
            </w:pPr>
          </w:p>
        </w:tc>
        <w:tc>
          <w:tcPr>
            <w:tcW w:w="5767" w:type="dxa"/>
          </w:tcPr>
          <w:p w:rsidR="000C4036" w:rsidRPr="001F7B9D" w:rsidRDefault="000C4036" w:rsidP="002D5982">
            <w:pPr>
              <w:widowControl w:val="0"/>
              <w:jc w:val="both"/>
              <w:rPr>
                <w:szCs w:val="28"/>
              </w:rPr>
            </w:pPr>
            <w:r w:rsidRPr="001F7B9D">
              <w:rPr>
                <w:szCs w:val="28"/>
              </w:rPr>
              <w:t>Đề nghị thêm hình thức gửi trực tuyến khi thực hiện các thủ tục hành chính (Quảng Nam)</w:t>
            </w:r>
            <w:r>
              <w:rPr>
                <w:szCs w:val="28"/>
              </w:rPr>
              <w:t>.</w:t>
            </w:r>
          </w:p>
        </w:tc>
        <w:tc>
          <w:tcPr>
            <w:tcW w:w="5954" w:type="dxa"/>
          </w:tcPr>
          <w:p w:rsidR="000C4036" w:rsidRDefault="000C4036" w:rsidP="002D5982">
            <w:pPr>
              <w:widowControl w:val="0"/>
              <w:jc w:val="both"/>
              <w:rPr>
                <w:szCs w:val="28"/>
              </w:rPr>
            </w:pPr>
            <w:r w:rsidRPr="001F7B9D">
              <w:rPr>
                <w:szCs w:val="28"/>
              </w:rPr>
              <w:t>Tiếp thu ý kiến này và đã chỉ</w:t>
            </w:r>
            <w:r>
              <w:rPr>
                <w:szCs w:val="28"/>
              </w:rPr>
              <w:t>nh lý trong D</w:t>
            </w:r>
            <w:r w:rsidRPr="001F7B9D">
              <w:rPr>
                <w:szCs w:val="28"/>
              </w:rPr>
              <w:t>ự thảo Nghị định</w:t>
            </w:r>
            <w:r>
              <w:rPr>
                <w:szCs w:val="28"/>
              </w:rPr>
              <w:t>.</w:t>
            </w:r>
          </w:p>
          <w:p w:rsidR="000C4036" w:rsidRPr="001F7B9D" w:rsidRDefault="000C4036" w:rsidP="002D5982">
            <w:pPr>
              <w:widowControl w:val="0"/>
              <w:jc w:val="both"/>
              <w:rPr>
                <w:szCs w:val="28"/>
              </w:rPr>
            </w:pPr>
          </w:p>
        </w:tc>
      </w:tr>
      <w:tr w:rsidR="001F7B9D" w:rsidRPr="001F7B9D" w:rsidTr="00D05FBC">
        <w:tc>
          <w:tcPr>
            <w:tcW w:w="2243" w:type="dxa"/>
          </w:tcPr>
          <w:p w:rsidR="001F7B9D" w:rsidRPr="001F7B9D" w:rsidRDefault="001F7B9D" w:rsidP="002D5982">
            <w:pPr>
              <w:widowControl w:val="0"/>
              <w:jc w:val="both"/>
              <w:rPr>
                <w:b/>
                <w:szCs w:val="28"/>
              </w:rPr>
            </w:pPr>
            <w:r w:rsidRPr="001F7B9D">
              <w:rPr>
                <w:b/>
                <w:szCs w:val="28"/>
              </w:rPr>
              <w:t>5. Về kỹ thuật</w:t>
            </w:r>
          </w:p>
        </w:tc>
        <w:tc>
          <w:tcPr>
            <w:tcW w:w="5767" w:type="dxa"/>
          </w:tcPr>
          <w:p w:rsidR="001F7B9D" w:rsidRPr="001F7B9D" w:rsidRDefault="001F7B9D" w:rsidP="001F7B9D">
            <w:pPr>
              <w:widowControl w:val="0"/>
              <w:jc w:val="both"/>
              <w:rPr>
                <w:szCs w:val="28"/>
              </w:rPr>
            </w:pPr>
            <w:r>
              <w:rPr>
                <w:szCs w:val="28"/>
              </w:rPr>
              <w:t>Đề nghị chỉnh lý về b</w:t>
            </w:r>
            <w:r w:rsidRPr="001F7B9D">
              <w:rPr>
                <w:szCs w:val="28"/>
              </w:rPr>
              <w:t>ố cục lại các điều luật (Bình Định)</w:t>
            </w:r>
            <w:r>
              <w:rPr>
                <w:szCs w:val="28"/>
              </w:rPr>
              <w:t xml:space="preserve"> và các góp ý về kỹ thuật khác.</w:t>
            </w:r>
          </w:p>
        </w:tc>
        <w:tc>
          <w:tcPr>
            <w:tcW w:w="5954" w:type="dxa"/>
          </w:tcPr>
          <w:p w:rsidR="001F7B9D" w:rsidRDefault="001F7B9D" w:rsidP="002D5982">
            <w:pPr>
              <w:widowControl w:val="0"/>
              <w:jc w:val="both"/>
              <w:rPr>
                <w:szCs w:val="28"/>
              </w:rPr>
            </w:pPr>
            <w:r w:rsidRPr="001F7B9D">
              <w:rPr>
                <w:szCs w:val="28"/>
              </w:rPr>
              <w:t>Tiếp thu ý kiến này và đã chỉ</w:t>
            </w:r>
            <w:r>
              <w:rPr>
                <w:szCs w:val="28"/>
              </w:rPr>
              <w:t>nh lý trong D</w:t>
            </w:r>
            <w:r w:rsidRPr="001F7B9D">
              <w:rPr>
                <w:szCs w:val="28"/>
              </w:rPr>
              <w:t>ự thảo Nghị định</w:t>
            </w:r>
            <w:r>
              <w:rPr>
                <w:szCs w:val="28"/>
              </w:rPr>
              <w:t>.</w:t>
            </w:r>
          </w:p>
          <w:p w:rsidR="001F7B9D" w:rsidRPr="001F7B9D" w:rsidRDefault="001F7B9D" w:rsidP="002D5982">
            <w:pPr>
              <w:widowControl w:val="0"/>
              <w:jc w:val="both"/>
              <w:rPr>
                <w:szCs w:val="28"/>
              </w:rPr>
            </w:pPr>
          </w:p>
        </w:tc>
      </w:tr>
    </w:tbl>
    <w:p w:rsidR="00D3621F" w:rsidRPr="001F7B9D" w:rsidRDefault="00D3621F" w:rsidP="00D05FBC">
      <w:pPr>
        <w:rPr>
          <w:b/>
          <w:szCs w:val="28"/>
        </w:rPr>
      </w:pPr>
    </w:p>
    <w:sectPr w:rsidR="00D3621F" w:rsidRPr="001F7B9D" w:rsidSect="002D5982">
      <w:footerReference w:type="default" r:id="rId9"/>
      <w:pgSz w:w="16840" w:h="11907" w:orient="landscape" w:code="9"/>
      <w:pgMar w:top="1134" w:right="1134" w:bottom="1134" w:left="1134" w:header="720" w:footer="2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A7" w:rsidRDefault="00D054A7" w:rsidP="00B71ACF">
      <w:pPr>
        <w:spacing w:before="0" w:after="0" w:line="240" w:lineRule="auto"/>
      </w:pPr>
      <w:r>
        <w:separator/>
      </w:r>
    </w:p>
  </w:endnote>
  <w:endnote w:type="continuationSeparator" w:id="0">
    <w:p w:rsidR="00D054A7" w:rsidRDefault="00D054A7" w:rsidP="00B71A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17183"/>
      <w:docPartObj>
        <w:docPartGallery w:val="Page Numbers (Bottom of Page)"/>
        <w:docPartUnique/>
      </w:docPartObj>
    </w:sdtPr>
    <w:sdtEndPr>
      <w:rPr>
        <w:rFonts w:ascii="Times New Roman" w:hAnsi="Times New Roman"/>
        <w:noProof/>
        <w:sz w:val="28"/>
        <w:szCs w:val="28"/>
      </w:rPr>
    </w:sdtEndPr>
    <w:sdtContent>
      <w:p w:rsidR="002D5982" w:rsidRPr="00FB7859" w:rsidRDefault="002D5982">
        <w:pPr>
          <w:pStyle w:val="Footer"/>
          <w:jc w:val="right"/>
          <w:rPr>
            <w:rFonts w:ascii="Times New Roman" w:hAnsi="Times New Roman"/>
            <w:sz w:val="28"/>
            <w:szCs w:val="28"/>
          </w:rPr>
        </w:pPr>
        <w:r w:rsidRPr="00FB7859">
          <w:rPr>
            <w:rFonts w:ascii="Times New Roman" w:hAnsi="Times New Roman"/>
            <w:sz w:val="28"/>
            <w:szCs w:val="28"/>
          </w:rPr>
          <w:fldChar w:fldCharType="begin"/>
        </w:r>
        <w:r w:rsidRPr="00FB7859">
          <w:rPr>
            <w:rFonts w:ascii="Times New Roman" w:hAnsi="Times New Roman"/>
            <w:sz w:val="28"/>
            <w:szCs w:val="28"/>
          </w:rPr>
          <w:instrText xml:space="preserve"> PAGE   \* MERGEFORMAT </w:instrText>
        </w:r>
        <w:r w:rsidRPr="00FB7859">
          <w:rPr>
            <w:rFonts w:ascii="Times New Roman" w:hAnsi="Times New Roman"/>
            <w:sz w:val="28"/>
            <w:szCs w:val="28"/>
          </w:rPr>
          <w:fldChar w:fldCharType="separate"/>
        </w:r>
        <w:r w:rsidR="00C81610">
          <w:rPr>
            <w:rFonts w:ascii="Times New Roman" w:hAnsi="Times New Roman"/>
            <w:noProof/>
            <w:sz w:val="28"/>
            <w:szCs w:val="28"/>
          </w:rPr>
          <w:t>4</w:t>
        </w:r>
        <w:r w:rsidRPr="00FB7859">
          <w:rPr>
            <w:rFonts w:ascii="Times New Roman" w:hAnsi="Times New Roman"/>
            <w:noProof/>
            <w:sz w:val="28"/>
            <w:szCs w:val="28"/>
          </w:rPr>
          <w:fldChar w:fldCharType="end"/>
        </w:r>
      </w:p>
    </w:sdtContent>
  </w:sdt>
  <w:p w:rsidR="002D5982" w:rsidRDefault="002D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A7" w:rsidRDefault="00D054A7" w:rsidP="00B71ACF">
      <w:pPr>
        <w:spacing w:before="0" w:after="0" w:line="240" w:lineRule="auto"/>
      </w:pPr>
      <w:r>
        <w:separator/>
      </w:r>
    </w:p>
  </w:footnote>
  <w:footnote w:type="continuationSeparator" w:id="0">
    <w:p w:rsidR="00D054A7" w:rsidRDefault="00D054A7" w:rsidP="00B71AC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535"/>
    <w:multiLevelType w:val="hybridMultilevel"/>
    <w:tmpl w:val="75C8F966"/>
    <w:lvl w:ilvl="0" w:tplc="114AC8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6494"/>
    <w:multiLevelType w:val="hybridMultilevel"/>
    <w:tmpl w:val="14263B12"/>
    <w:lvl w:ilvl="0" w:tplc="0D2814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08CD"/>
    <w:multiLevelType w:val="hybridMultilevel"/>
    <w:tmpl w:val="D122ACFC"/>
    <w:lvl w:ilvl="0" w:tplc="13446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D4907"/>
    <w:multiLevelType w:val="hybridMultilevel"/>
    <w:tmpl w:val="C7D486FC"/>
    <w:lvl w:ilvl="0" w:tplc="425E6C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C12AE"/>
    <w:multiLevelType w:val="hybridMultilevel"/>
    <w:tmpl w:val="91588318"/>
    <w:lvl w:ilvl="0" w:tplc="02E42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F2EC2"/>
    <w:multiLevelType w:val="hybridMultilevel"/>
    <w:tmpl w:val="72C2F9E4"/>
    <w:lvl w:ilvl="0" w:tplc="4CB67A4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3E6141"/>
    <w:multiLevelType w:val="hybridMultilevel"/>
    <w:tmpl w:val="5ED6C1E4"/>
    <w:lvl w:ilvl="0" w:tplc="9BA246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578EE"/>
    <w:multiLevelType w:val="hybridMultilevel"/>
    <w:tmpl w:val="65ACEA42"/>
    <w:lvl w:ilvl="0" w:tplc="835262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579C4"/>
    <w:multiLevelType w:val="hybridMultilevel"/>
    <w:tmpl w:val="EBD4A7E2"/>
    <w:lvl w:ilvl="0" w:tplc="F9024D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862CB"/>
    <w:multiLevelType w:val="hybridMultilevel"/>
    <w:tmpl w:val="585C4348"/>
    <w:lvl w:ilvl="0" w:tplc="FD0077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24BA8"/>
    <w:multiLevelType w:val="hybridMultilevel"/>
    <w:tmpl w:val="D08C3720"/>
    <w:lvl w:ilvl="0" w:tplc="BC742BFC">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B0230"/>
    <w:multiLevelType w:val="hybridMultilevel"/>
    <w:tmpl w:val="F12A6652"/>
    <w:lvl w:ilvl="0" w:tplc="7C00B2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C2BFB"/>
    <w:multiLevelType w:val="hybridMultilevel"/>
    <w:tmpl w:val="FAD8C8B6"/>
    <w:lvl w:ilvl="0" w:tplc="4E963F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C6000"/>
    <w:multiLevelType w:val="hybridMultilevel"/>
    <w:tmpl w:val="1144B3A0"/>
    <w:lvl w:ilvl="0" w:tplc="909C1C88">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A2474"/>
    <w:multiLevelType w:val="hybridMultilevel"/>
    <w:tmpl w:val="02D06758"/>
    <w:lvl w:ilvl="0" w:tplc="D09C6A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D492C"/>
    <w:multiLevelType w:val="hybridMultilevel"/>
    <w:tmpl w:val="C5AE3B96"/>
    <w:lvl w:ilvl="0" w:tplc="FBA805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331B5"/>
    <w:multiLevelType w:val="hybridMultilevel"/>
    <w:tmpl w:val="19B6C4AE"/>
    <w:lvl w:ilvl="0" w:tplc="31E44F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22FAB"/>
    <w:multiLevelType w:val="hybridMultilevel"/>
    <w:tmpl w:val="C2FA756A"/>
    <w:lvl w:ilvl="0" w:tplc="67B4D9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3C63F3"/>
    <w:multiLevelType w:val="hybridMultilevel"/>
    <w:tmpl w:val="0156B00C"/>
    <w:lvl w:ilvl="0" w:tplc="42AE78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2"/>
  </w:num>
  <w:num w:numId="5">
    <w:abstractNumId w:val="5"/>
  </w:num>
  <w:num w:numId="6">
    <w:abstractNumId w:val="3"/>
  </w:num>
  <w:num w:numId="7">
    <w:abstractNumId w:val="18"/>
  </w:num>
  <w:num w:numId="8">
    <w:abstractNumId w:val="7"/>
  </w:num>
  <w:num w:numId="9">
    <w:abstractNumId w:val="17"/>
  </w:num>
  <w:num w:numId="10">
    <w:abstractNumId w:val="8"/>
  </w:num>
  <w:num w:numId="11">
    <w:abstractNumId w:val="15"/>
  </w:num>
  <w:num w:numId="12">
    <w:abstractNumId w:val="1"/>
  </w:num>
  <w:num w:numId="13">
    <w:abstractNumId w:val="16"/>
  </w:num>
  <w:num w:numId="14">
    <w:abstractNumId w:val="9"/>
  </w:num>
  <w:num w:numId="15">
    <w:abstractNumId w:val="4"/>
  </w:num>
  <w:num w:numId="16">
    <w:abstractNumId w:val="10"/>
  </w:num>
  <w:num w:numId="17">
    <w:abstractNumId w:val="13"/>
  </w:num>
  <w:num w:numId="18">
    <w:abstractNumId w:val="11"/>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CF"/>
    <w:rsid w:val="00000006"/>
    <w:rsid w:val="000044A0"/>
    <w:rsid w:val="0001029F"/>
    <w:rsid w:val="00010AB0"/>
    <w:rsid w:val="0001296A"/>
    <w:rsid w:val="0001638F"/>
    <w:rsid w:val="0001762D"/>
    <w:rsid w:val="00022E5E"/>
    <w:rsid w:val="0002417E"/>
    <w:rsid w:val="00041EBD"/>
    <w:rsid w:val="00042ACE"/>
    <w:rsid w:val="000510BF"/>
    <w:rsid w:val="000622CD"/>
    <w:rsid w:val="00076800"/>
    <w:rsid w:val="000870B7"/>
    <w:rsid w:val="00095811"/>
    <w:rsid w:val="00096561"/>
    <w:rsid w:val="000B1256"/>
    <w:rsid w:val="000B125E"/>
    <w:rsid w:val="000C4036"/>
    <w:rsid w:val="000E1E2A"/>
    <w:rsid w:val="000E2067"/>
    <w:rsid w:val="000E3AA9"/>
    <w:rsid w:val="000E3FDC"/>
    <w:rsid w:val="000E72B1"/>
    <w:rsid w:val="000E7E58"/>
    <w:rsid w:val="000F6413"/>
    <w:rsid w:val="000F65FD"/>
    <w:rsid w:val="00100E6A"/>
    <w:rsid w:val="001015C1"/>
    <w:rsid w:val="001049BA"/>
    <w:rsid w:val="001078EA"/>
    <w:rsid w:val="00115DF4"/>
    <w:rsid w:val="00132A11"/>
    <w:rsid w:val="001362F8"/>
    <w:rsid w:val="001472EE"/>
    <w:rsid w:val="00151FE3"/>
    <w:rsid w:val="00166636"/>
    <w:rsid w:val="001678EC"/>
    <w:rsid w:val="001750BC"/>
    <w:rsid w:val="001772DC"/>
    <w:rsid w:val="001779D6"/>
    <w:rsid w:val="001A3D63"/>
    <w:rsid w:val="001B4F8F"/>
    <w:rsid w:val="001C00A0"/>
    <w:rsid w:val="001C61CA"/>
    <w:rsid w:val="001D3EFD"/>
    <w:rsid w:val="001D65DD"/>
    <w:rsid w:val="001E1F27"/>
    <w:rsid w:val="001F7B9D"/>
    <w:rsid w:val="00210416"/>
    <w:rsid w:val="002237CE"/>
    <w:rsid w:val="00234423"/>
    <w:rsid w:val="002372F9"/>
    <w:rsid w:val="00237A50"/>
    <w:rsid w:val="002441AA"/>
    <w:rsid w:val="00254438"/>
    <w:rsid w:val="002554F2"/>
    <w:rsid w:val="00255BA8"/>
    <w:rsid w:val="00276A99"/>
    <w:rsid w:val="002870DE"/>
    <w:rsid w:val="00296E37"/>
    <w:rsid w:val="002B0E1D"/>
    <w:rsid w:val="002B2E5A"/>
    <w:rsid w:val="002B6CA1"/>
    <w:rsid w:val="002B77EC"/>
    <w:rsid w:val="002C16BC"/>
    <w:rsid w:val="002D5982"/>
    <w:rsid w:val="002E27F4"/>
    <w:rsid w:val="002E321D"/>
    <w:rsid w:val="002E63BF"/>
    <w:rsid w:val="002F2ABC"/>
    <w:rsid w:val="002F6A3D"/>
    <w:rsid w:val="00303740"/>
    <w:rsid w:val="00326177"/>
    <w:rsid w:val="003413C1"/>
    <w:rsid w:val="00342843"/>
    <w:rsid w:val="0034391B"/>
    <w:rsid w:val="00346C24"/>
    <w:rsid w:val="0035250E"/>
    <w:rsid w:val="003565FD"/>
    <w:rsid w:val="00360B2F"/>
    <w:rsid w:val="003622F4"/>
    <w:rsid w:val="00367666"/>
    <w:rsid w:val="00373BFB"/>
    <w:rsid w:val="003846A0"/>
    <w:rsid w:val="003904AE"/>
    <w:rsid w:val="00396CD3"/>
    <w:rsid w:val="003A280F"/>
    <w:rsid w:val="003A503B"/>
    <w:rsid w:val="003A57D0"/>
    <w:rsid w:val="003B1D21"/>
    <w:rsid w:val="003B335A"/>
    <w:rsid w:val="003C3665"/>
    <w:rsid w:val="003D6F1F"/>
    <w:rsid w:val="003D7957"/>
    <w:rsid w:val="003F59B0"/>
    <w:rsid w:val="003F5AB2"/>
    <w:rsid w:val="00402DA5"/>
    <w:rsid w:val="004237ED"/>
    <w:rsid w:val="00427791"/>
    <w:rsid w:val="00441DD6"/>
    <w:rsid w:val="00454709"/>
    <w:rsid w:val="0045517C"/>
    <w:rsid w:val="00462206"/>
    <w:rsid w:val="0046676B"/>
    <w:rsid w:val="0046690A"/>
    <w:rsid w:val="00470D0F"/>
    <w:rsid w:val="004719BF"/>
    <w:rsid w:val="0047462E"/>
    <w:rsid w:val="004809D0"/>
    <w:rsid w:val="00484DFD"/>
    <w:rsid w:val="00485F7B"/>
    <w:rsid w:val="004A227E"/>
    <w:rsid w:val="004B31DF"/>
    <w:rsid w:val="004C0F7F"/>
    <w:rsid w:val="004C135D"/>
    <w:rsid w:val="004C21E8"/>
    <w:rsid w:val="004C2BAF"/>
    <w:rsid w:val="004E554E"/>
    <w:rsid w:val="004F08F1"/>
    <w:rsid w:val="004F4180"/>
    <w:rsid w:val="004F5CC7"/>
    <w:rsid w:val="00513147"/>
    <w:rsid w:val="005229FE"/>
    <w:rsid w:val="00524131"/>
    <w:rsid w:val="0053119B"/>
    <w:rsid w:val="00531CDC"/>
    <w:rsid w:val="00532233"/>
    <w:rsid w:val="00537670"/>
    <w:rsid w:val="00590B13"/>
    <w:rsid w:val="005A3FEF"/>
    <w:rsid w:val="005A44F5"/>
    <w:rsid w:val="005B203D"/>
    <w:rsid w:val="005D4533"/>
    <w:rsid w:val="005D6248"/>
    <w:rsid w:val="006022FE"/>
    <w:rsid w:val="00606216"/>
    <w:rsid w:val="006163C3"/>
    <w:rsid w:val="00621108"/>
    <w:rsid w:val="0062282F"/>
    <w:rsid w:val="006254AF"/>
    <w:rsid w:val="00634779"/>
    <w:rsid w:val="00636E1D"/>
    <w:rsid w:val="006547F7"/>
    <w:rsid w:val="0066041E"/>
    <w:rsid w:val="0066246A"/>
    <w:rsid w:val="00667308"/>
    <w:rsid w:val="00670FC9"/>
    <w:rsid w:val="00671A9A"/>
    <w:rsid w:val="0067719A"/>
    <w:rsid w:val="0068033D"/>
    <w:rsid w:val="00690006"/>
    <w:rsid w:val="00693EA6"/>
    <w:rsid w:val="00694757"/>
    <w:rsid w:val="006970E4"/>
    <w:rsid w:val="00697478"/>
    <w:rsid w:val="006A3A28"/>
    <w:rsid w:val="006F1335"/>
    <w:rsid w:val="006F1D8C"/>
    <w:rsid w:val="00706223"/>
    <w:rsid w:val="00721594"/>
    <w:rsid w:val="00727D08"/>
    <w:rsid w:val="0074763F"/>
    <w:rsid w:val="00765CE9"/>
    <w:rsid w:val="0077098E"/>
    <w:rsid w:val="0077426C"/>
    <w:rsid w:val="00776EE1"/>
    <w:rsid w:val="00777E99"/>
    <w:rsid w:val="00787763"/>
    <w:rsid w:val="00793F3A"/>
    <w:rsid w:val="007A5A91"/>
    <w:rsid w:val="007D0261"/>
    <w:rsid w:val="007D2291"/>
    <w:rsid w:val="007D60C1"/>
    <w:rsid w:val="007E216D"/>
    <w:rsid w:val="007E2BC1"/>
    <w:rsid w:val="007E3F20"/>
    <w:rsid w:val="007F6A10"/>
    <w:rsid w:val="00817899"/>
    <w:rsid w:val="0082370F"/>
    <w:rsid w:val="00830E26"/>
    <w:rsid w:val="008470B1"/>
    <w:rsid w:val="00850CA1"/>
    <w:rsid w:val="00855F46"/>
    <w:rsid w:val="00880165"/>
    <w:rsid w:val="008815F7"/>
    <w:rsid w:val="00882167"/>
    <w:rsid w:val="00882F39"/>
    <w:rsid w:val="00884DD2"/>
    <w:rsid w:val="00890B89"/>
    <w:rsid w:val="008921A0"/>
    <w:rsid w:val="008A2DF1"/>
    <w:rsid w:val="008A4734"/>
    <w:rsid w:val="008A6CD1"/>
    <w:rsid w:val="008A7331"/>
    <w:rsid w:val="008B3CC9"/>
    <w:rsid w:val="008B3FD5"/>
    <w:rsid w:val="008B6D50"/>
    <w:rsid w:val="008C26F3"/>
    <w:rsid w:val="008C5697"/>
    <w:rsid w:val="008D6B83"/>
    <w:rsid w:val="008D75A8"/>
    <w:rsid w:val="008D7FC6"/>
    <w:rsid w:val="008E5F33"/>
    <w:rsid w:val="008F3187"/>
    <w:rsid w:val="008F505F"/>
    <w:rsid w:val="009006D0"/>
    <w:rsid w:val="00910D70"/>
    <w:rsid w:val="00914825"/>
    <w:rsid w:val="009222E1"/>
    <w:rsid w:val="00924B72"/>
    <w:rsid w:val="009253AD"/>
    <w:rsid w:val="009307EF"/>
    <w:rsid w:val="00935EFB"/>
    <w:rsid w:val="00936EB3"/>
    <w:rsid w:val="0094546F"/>
    <w:rsid w:val="00946171"/>
    <w:rsid w:val="009510FD"/>
    <w:rsid w:val="00977AF6"/>
    <w:rsid w:val="00980AFE"/>
    <w:rsid w:val="009839CF"/>
    <w:rsid w:val="009951BB"/>
    <w:rsid w:val="009978A6"/>
    <w:rsid w:val="009A3639"/>
    <w:rsid w:val="009C4378"/>
    <w:rsid w:val="009D53E8"/>
    <w:rsid w:val="009E084D"/>
    <w:rsid w:val="009F17F2"/>
    <w:rsid w:val="009F54A2"/>
    <w:rsid w:val="00A0624F"/>
    <w:rsid w:val="00A16251"/>
    <w:rsid w:val="00A24641"/>
    <w:rsid w:val="00A312FF"/>
    <w:rsid w:val="00A40093"/>
    <w:rsid w:val="00A40121"/>
    <w:rsid w:val="00A70A56"/>
    <w:rsid w:val="00A75AE0"/>
    <w:rsid w:val="00A762C7"/>
    <w:rsid w:val="00A814AE"/>
    <w:rsid w:val="00A8252A"/>
    <w:rsid w:val="00A962B0"/>
    <w:rsid w:val="00AB4256"/>
    <w:rsid w:val="00AB5B90"/>
    <w:rsid w:val="00AC0676"/>
    <w:rsid w:val="00AC5BEC"/>
    <w:rsid w:val="00AE0FEF"/>
    <w:rsid w:val="00AF2AF8"/>
    <w:rsid w:val="00B02E78"/>
    <w:rsid w:val="00B07827"/>
    <w:rsid w:val="00B13B51"/>
    <w:rsid w:val="00B34F8E"/>
    <w:rsid w:val="00B35B24"/>
    <w:rsid w:val="00B55A21"/>
    <w:rsid w:val="00B60755"/>
    <w:rsid w:val="00B65115"/>
    <w:rsid w:val="00B70796"/>
    <w:rsid w:val="00B71ACF"/>
    <w:rsid w:val="00B83755"/>
    <w:rsid w:val="00B905C8"/>
    <w:rsid w:val="00B96F44"/>
    <w:rsid w:val="00BB0207"/>
    <w:rsid w:val="00BB1697"/>
    <w:rsid w:val="00BB611E"/>
    <w:rsid w:val="00BB7C56"/>
    <w:rsid w:val="00BD1327"/>
    <w:rsid w:val="00BD4858"/>
    <w:rsid w:val="00BE0795"/>
    <w:rsid w:val="00C00379"/>
    <w:rsid w:val="00C0174C"/>
    <w:rsid w:val="00C159F2"/>
    <w:rsid w:val="00C21509"/>
    <w:rsid w:val="00C25031"/>
    <w:rsid w:val="00C30665"/>
    <w:rsid w:val="00C323E0"/>
    <w:rsid w:val="00C33CD6"/>
    <w:rsid w:val="00C44751"/>
    <w:rsid w:val="00C520DD"/>
    <w:rsid w:val="00C53033"/>
    <w:rsid w:val="00C54AB3"/>
    <w:rsid w:val="00C64D33"/>
    <w:rsid w:val="00C81610"/>
    <w:rsid w:val="00C972CB"/>
    <w:rsid w:val="00CA0C01"/>
    <w:rsid w:val="00CB758B"/>
    <w:rsid w:val="00CC203D"/>
    <w:rsid w:val="00CE1302"/>
    <w:rsid w:val="00CF189C"/>
    <w:rsid w:val="00CF3730"/>
    <w:rsid w:val="00CF48AA"/>
    <w:rsid w:val="00CF6A18"/>
    <w:rsid w:val="00D054A7"/>
    <w:rsid w:val="00D05FBC"/>
    <w:rsid w:val="00D3621F"/>
    <w:rsid w:val="00D64265"/>
    <w:rsid w:val="00D65097"/>
    <w:rsid w:val="00D75B50"/>
    <w:rsid w:val="00D76F3C"/>
    <w:rsid w:val="00D84287"/>
    <w:rsid w:val="00D8771C"/>
    <w:rsid w:val="00DA585B"/>
    <w:rsid w:val="00DB059D"/>
    <w:rsid w:val="00DB63AD"/>
    <w:rsid w:val="00DB789A"/>
    <w:rsid w:val="00DC3284"/>
    <w:rsid w:val="00DD4789"/>
    <w:rsid w:val="00DD6C15"/>
    <w:rsid w:val="00DE2CC3"/>
    <w:rsid w:val="00DF28F4"/>
    <w:rsid w:val="00DF319B"/>
    <w:rsid w:val="00DF5047"/>
    <w:rsid w:val="00DF50DD"/>
    <w:rsid w:val="00DF75CA"/>
    <w:rsid w:val="00E12D71"/>
    <w:rsid w:val="00E149F9"/>
    <w:rsid w:val="00E31A4D"/>
    <w:rsid w:val="00E425EC"/>
    <w:rsid w:val="00E5544A"/>
    <w:rsid w:val="00E67D34"/>
    <w:rsid w:val="00E8669B"/>
    <w:rsid w:val="00E87BE6"/>
    <w:rsid w:val="00E91CBE"/>
    <w:rsid w:val="00E93125"/>
    <w:rsid w:val="00E939DD"/>
    <w:rsid w:val="00EA21B3"/>
    <w:rsid w:val="00EA2371"/>
    <w:rsid w:val="00EB330F"/>
    <w:rsid w:val="00EB6934"/>
    <w:rsid w:val="00EC1EEF"/>
    <w:rsid w:val="00EC4184"/>
    <w:rsid w:val="00ED70A0"/>
    <w:rsid w:val="00EE29C0"/>
    <w:rsid w:val="00EE5A7F"/>
    <w:rsid w:val="00EE6448"/>
    <w:rsid w:val="00EE7438"/>
    <w:rsid w:val="00EF0585"/>
    <w:rsid w:val="00EF3DF0"/>
    <w:rsid w:val="00F026B4"/>
    <w:rsid w:val="00F0734A"/>
    <w:rsid w:val="00F20D51"/>
    <w:rsid w:val="00F452B8"/>
    <w:rsid w:val="00F64A45"/>
    <w:rsid w:val="00F65F8C"/>
    <w:rsid w:val="00F70638"/>
    <w:rsid w:val="00F71A9B"/>
    <w:rsid w:val="00F7587C"/>
    <w:rsid w:val="00F77972"/>
    <w:rsid w:val="00F813F3"/>
    <w:rsid w:val="00F81CC6"/>
    <w:rsid w:val="00F84241"/>
    <w:rsid w:val="00F85BED"/>
    <w:rsid w:val="00F9626F"/>
    <w:rsid w:val="00FA4A7D"/>
    <w:rsid w:val="00FB7859"/>
    <w:rsid w:val="00FC26F1"/>
    <w:rsid w:val="00FC3F00"/>
    <w:rsid w:val="00FC6818"/>
    <w:rsid w:val="00FC7BB4"/>
    <w:rsid w:val="00FD1960"/>
    <w:rsid w:val="00FD1F4D"/>
    <w:rsid w:val="00FE51EA"/>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71ACF"/>
    <w:pPr>
      <w:keepNext/>
      <w:spacing w:before="240" w:after="60" w:line="360" w:lineRule="auto"/>
      <w:jc w:val="both"/>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1ACF"/>
    <w:rPr>
      <w:rFonts w:ascii="Arial" w:eastAsia="Times New Roman" w:hAnsi="Arial" w:cs="Arial"/>
      <w:b/>
      <w:bCs/>
      <w:noProof/>
      <w:sz w:val="26"/>
      <w:szCs w:val="26"/>
    </w:rPr>
  </w:style>
  <w:style w:type="paragraph" w:styleId="FootnoteText">
    <w:name w:val="footnote text"/>
    <w:basedOn w:val="Normal"/>
    <w:link w:val="FootnoteTextChar"/>
    <w:uiPriority w:val="99"/>
    <w:semiHidden/>
    <w:unhideWhenUsed/>
    <w:rsid w:val="00B71ACF"/>
    <w:pPr>
      <w:spacing w:before="0"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71A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71ACF"/>
    <w:rPr>
      <w:vertAlign w:val="superscript"/>
    </w:rPr>
  </w:style>
  <w:style w:type="paragraph" w:styleId="Footer">
    <w:name w:val="footer"/>
    <w:basedOn w:val="Normal"/>
    <w:link w:val="FooterChar"/>
    <w:uiPriority w:val="99"/>
    <w:unhideWhenUsed/>
    <w:rsid w:val="00B71ACF"/>
    <w:pPr>
      <w:tabs>
        <w:tab w:val="center" w:pos="4320"/>
        <w:tab w:val="right" w:pos="8640"/>
      </w:tabs>
      <w:spacing w:before="0" w:after="200" w:line="276"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B71ACF"/>
    <w:rPr>
      <w:rFonts w:ascii="Calibri" w:eastAsia="Times New Roman" w:hAnsi="Calibri" w:cs="Times New Roman"/>
      <w:sz w:val="22"/>
    </w:rPr>
  </w:style>
  <w:style w:type="paragraph" w:styleId="Caption">
    <w:name w:val="caption"/>
    <w:basedOn w:val="Normal"/>
    <w:next w:val="Normal"/>
    <w:qFormat/>
    <w:rsid w:val="00B71ACF"/>
    <w:pPr>
      <w:spacing w:before="0" w:after="0" w:line="240" w:lineRule="auto"/>
      <w:jc w:val="both"/>
    </w:pPr>
    <w:rPr>
      <w:rFonts w:ascii=".VnTime" w:eastAsia="Times New Roman" w:hAnsi=".VnTime" w:cs="Times New Roman"/>
      <w:b/>
      <w:bCs/>
      <w:i/>
      <w:iCs/>
      <w:color w:val="000000"/>
      <w:sz w:val="32"/>
      <w:szCs w:val="24"/>
    </w:rPr>
  </w:style>
  <w:style w:type="table" w:styleId="TableGrid">
    <w:name w:val="Table Grid"/>
    <w:basedOn w:val="TableNormal"/>
    <w:uiPriority w:val="59"/>
    <w:rsid w:val="00B71AC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734"/>
    <w:pPr>
      <w:ind w:left="720"/>
      <w:contextualSpacing/>
    </w:pPr>
  </w:style>
  <w:style w:type="paragraph" w:styleId="CommentText">
    <w:name w:val="annotation text"/>
    <w:basedOn w:val="Normal"/>
    <w:link w:val="CommentTextChar"/>
    <w:semiHidden/>
    <w:rsid w:val="00634779"/>
    <w:pPr>
      <w:autoSpaceDE w:val="0"/>
      <w:autoSpaceDN w:val="0"/>
      <w:spacing w:before="0"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634779"/>
    <w:rPr>
      <w:rFonts w:ascii=".VnTime" w:eastAsia="Times New Roman" w:hAnsi=".VnTime" w:cs="Times New Roman"/>
      <w:sz w:val="20"/>
      <w:szCs w:val="20"/>
    </w:rPr>
  </w:style>
  <w:style w:type="paragraph" w:styleId="Header">
    <w:name w:val="header"/>
    <w:basedOn w:val="Normal"/>
    <w:link w:val="HeaderChar"/>
    <w:uiPriority w:val="99"/>
    <w:unhideWhenUsed/>
    <w:rsid w:val="0078776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763"/>
  </w:style>
  <w:style w:type="paragraph" w:styleId="BalloonText">
    <w:name w:val="Balloon Text"/>
    <w:basedOn w:val="Normal"/>
    <w:link w:val="BalloonTextChar"/>
    <w:uiPriority w:val="99"/>
    <w:semiHidden/>
    <w:unhideWhenUsed/>
    <w:rsid w:val="000768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00"/>
    <w:rPr>
      <w:rFonts w:ascii="Tahoma" w:hAnsi="Tahoma" w:cs="Tahoma"/>
      <w:sz w:val="16"/>
      <w:szCs w:val="16"/>
    </w:rPr>
  </w:style>
  <w:style w:type="paragraph" w:styleId="NormalWeb">
    <w:name w:val="Normal (Web)"/>
    <w:basedOn w:val="Normal"/>
    <w:uiPriority w:val="99"/>
    <w:rsid w:val="00EF3DF0"/>
    <w:pPr>
      <w:spacing w:before="100" w:beforeAutospacing="1" w:after="100" w:afterAutospacing="1" w:line="240" w:lineRule="auto"/>
    </w:pPr>
    <w:rPr>
      <w:rFonts w:ascii="Calibri" w:eastAsia="Times New Roman" w:hAnsi="Calibri" w:cs="Times New Roman"/>
      <w:sz w:val="24"/>
      <w:szCs w:val="24"/>
    </w:rPr>
  </w:style>
  <w:style w:type="paragraph" w:styleId="PlainText">
    <w:name w:val="Plain Text"/>
    <w:basedOn w:val="Normal"/>
    <w:link w:val="PlainTextChar"/>
    <w:uiPriority w:val="99"/>
    <w:unhideWhenUsed/>
    <w:rsid w:val="006F1335"/>
    <w:pPr>
      <w:spacing w:before="0"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F1335"/>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71ACF"/>
    <w:pPr>
      <w:keepNext/>
      <w:spacing w:before="240" w:after="60" w:line="360" w:lineRule="auto"/>
      <w:jc w:val="both"/>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1ACF"/>
    <w:rPr>
      <w:rFonts w:ascii="Arial" w:eastAsia="Times New Roman" w:hAnsi="Arial" w:cs="Arial"/>
      <w:b/>
      <w:bCs/>
      <w:noProof/>
      <w:sz w:val="26"/>
      <w:szCs w:val="26"/>
    </w:rPr>
  </w:style>
  <w:style w:type="paragraph" w:styleId="FootnoteText">
    <w:name w:val="footnote text"/>
    <w:basedOn w:val="Normal"/>
    <w:link w:val="FootnoteTextChar"/>
    <w:uiPriority w:val="99"/>
    <w:semiHidden/>
    <w:unhideWhenUsed/>
    <w:rsid w:val="00B71ACF"/>
    <w:pPr>
      <w:spacing w:before="0"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71A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71ACF"/>
    <w:rPr>
      <w:vertAlign w:val="superscript"/>
    </w:rPr>
  </w:style>
  <w:style w:type="paragraph" w:styleId="Footer">
    <w:name w:val="footer"/>
    <w:basedOn w:val="Normal"/>
    <w:link w:val="FooterChar"/>
    <w:uiPriority w:val="99"/>
    <w:unhideWhenUsed/>
    <w:rsid w:val="00B71ACF"/>
    <w:pPr>
      <w:tabs>
        <w:tab w:val="center" w:pos="4320"/>
        <w:tab w:val="right" w:pos="8640"/>
      </w:tabs>
      <w:spacing w:before="0" w:after="200" w:line="276"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B71ACF"/>
    <w:rPr>
      <w:rFonts w:ascii="Calibri" w:eastAsia="Times New Roman" w:hAnsi="Calibri" w:cs="Times New Roman"/>
      <w:sz w:val="22"/>
    </w:rPr>
  </w:style>
  <w:style w:type="paragraph" w:styleId="Caption">
    <w:name w:val="caption"/>
    <w:basedOn w:val="Normal"/>
    <w:next w:val="Normal"/>
    <w:qFormat/>
    <w:rsid w:val="00B71ACF"/>
    <w:pPr>
      <w:spacing w:before="0" w:after="0" w:line="240" w:lineRule="auto"/>
      <w:jc w:val="both"/>
    </w:pPr>
    <w:rPr>
      <w:rFonts w:ascii=".VnTime" w:eastAsia="Times New Roman" w:hAnsi=".VnTime" w:cs="Times New Roman"/>
      <w:b/>
      <w:bCs/>
      <w:i/>
      <w:iCs/>
      <w:color w:val="000000"/>
      <w:sz w:val="32"/>
      <w:szCs w:val="24"/>
    </w:rPr>
  </w:style>
  <w:style w:type="table" w:styleId="TableGrid">
    <w:name w:val="Table Grid"/>
    <w:basedOn w:val="TableNormal"/>
    <w:uiPriority w:val="59"/>
    <w:rsid w:val="00B71AC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734"/>
    <w:pPr>
      <w:ind w:left="720"/>
      <w:contextualSpacing/>
    </w:pPr>
  </w:style>
  <w:style w:type="paragraph" w:styleId="CommentText">
    <w:name w:val="annotation text"/>
    <w:basedOn w:val="Normal"/>
    <w:link w:val="CommentTextChar"/>
    <w:semiHidden/>
    <w:rsid w:val="00634779"/>
    <w:pPr>
      <w:autoSpaceDE w:val="0"/>
      <w:autoSpaceDN w:val="0"/>
      <w:spacing w:before="0"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634779"/>
    <w:rPr>
      <w:rFonts w:ascii=".VnTime" w:eastAsia="Times New Roman" w:hAnsi=".VnTime" w:cs="Times New Roman"/>
      <w:sz w:val="20"/>
      <w:szCs w:val="20"/>
    </w:rPr>
  </w:style>
  <w:style w:type="paragraph" w:styleId="Header">
    <w:name w:val="header"/>
    <w:basedOn w:val="Normal"/>
    <w:link w:val="HeaderChar"/>
    <w:uiPriority w:val="99"/>
    <w:unhideWhenUsed/>
    <w:rsid w:val="0078776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7763"/>
  </w:style>
  <w:style w:type="paragraph" w:styleId="BalloonText">
    <w:name w:val="Balloon Text"/>
    <w:basedOn w:val="Normal"/>
    <w:link w:val="BalloonTextChar"/>
    <w:uiPriority w:val="99"/>
    <w:semiHidden/>
    <w:unhideWhenUsed/>
    <w:rsid w:val="000768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00"/>
    <w:rPr>
      <w:rFonts w:ascii="Tahoma" w:hAnsi="Tahoma" w:cs="Tahoma"/>
      <w:sz w:val="16"/>
      <w:szCs w:val="16"/>
    </w:rPr>
  </w:style>
  <w:style w:type="paragraph" w:styleId="NormalWeb">
    <w:name w:val="Normal (Web)"/>
    <w:basedOn w:val="Normal"/>
    <w:uiPriority w:val="99"/>
    <w:rsid w:val="00EF3DF0"/>
    <w:pPr>
      <w:spacing w:before="100" w:beforeAutospacing="1" w:after="100" w:afterAutospacing="1" w:line="240" w:lineRule="auto"/>
    </w:pPr>
    <w:rPr>
      <w:rFonts w:ascii="Calibri" w:eastAsia="Times New Roman" w:hAnsi="Calibri" w:cs="Times New Roman"/>
      <w:sz w:val="24"/>
      <w:szCs w:val="24"/>
    </w:rPr>
  </w:style>
  <w:style w:type="paragraph" w:styleId="PlainText">
    <w:name w:val="Plain Text"/>
    <w:basedOn w:val="Normal"/>
    <w:link w:val="PlainTextChar"/>
    <w:uiPriority w:val="99"/>
    <w:unhideWhenUsed/>
    <w:rsid w:val="006F1335"/>
    <w:pPr>
      <w:spacing w:before="0"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F133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65064">
      <w:bodyDiv w:val="1"/>
      <w:marLeft w:val="0"/>
      <w:marRight w:val="0"/>
      <w:marTop w:val="0"/>
      <w:marBottom w:val="0"/>
      <w:divBdr>
        <w:top w:val="none" w:sz="0" w:space="0" w:color="auto"/>
        <w:left w:val="none" w:sz="0" w:space="0" w:color="auto"/>
        <w:bottom w:val="none" w:sz="0" w:space="0" w:color="auto"/>
        <w:right w:val="none" w:sz="0" w:space="0" w:color="auto"/>
      </w:divBdr>
    </w:div>
    <w:div w:id="809132878">
      <w:bodyDiv w:val="1"/>
      <w:marLeft w:val="0"/>
      <w:marRight w:val="0"/>
      <w:marTop w:val="0"/>
      <w:marBottom w:val="0"/>
      <w:divBdr>
        <w:top w:val="none" w:sz="0" w:space="0" w:color="auto"/>
        <w:left w:val="none" w:sz="0" w:space="0" w:color="auto"/>
        <w:bottom w:val="none" w:sz="0" w:space="0" w:color="auto"/>
        <w:right w:val="none" w:sz="0" w:space="0" w:color="auto"/>
      </w:divBdr>
    </w:div>
    <w:div w:id="914783894">
      <w:bodyDiv w:val="1"/>
      <w:marLeft w:val="0"/>
      <w:marRight w:val="0"/>
      <w:marTop w:val="0"/>
      <w:marBottom w:val="0"/>
      <w:divBdr>
        <w:top w:val="none" w:sz="0" w:space="0" w:color="auto"/>
        <w:left w:val="none" w:sz="0" w:space="0" w:color="auto"/>
        <w:bottom w:val="none" w:sz="0" w:space="0" w:color="auto"/>
        <w:right w:val="none" w:sz="0" w:space="0" w:color="auto"/>
      </w:divBdr>
    </w:div>
    <w:div w:id="1034572626">
      <w:bodyDiv w:val="1"/>
      <w:marLeft w:val="0"/>
      <w:marRight w:val="0"/>
      <w:marTop w:val="0"/>
      <w:marBottom w:val="0"/>
      <w:divBdr>
        <w:top w:val="none" w:sz="0" w:space="0" w:color="auto"/>
        <w:left w:val="none" w:sz="0" w:space="0" w:color="auto"/>
        <w:bottom w:val="none" w:sz="0" w:space="0" w:color="auto"/>
        <w:right w:val="none" w:sz="0" w:space="0" w:color="auto"/>
      </w:divBdr>
    </w:div>
    <w:div w:id="1660382923">
      <w:bodyDiv w:val="1"/>
      <w:marLeft w:val="0"/>
      <w:marRight w:val="0"/>
      <w:marTop w:val="0"/>
      <w:marBottom w:val="0"/>
      <w:divBdr>
        <w:top w:val="none" w:sz="0" w:space="0" w:color="auto"/>
        <w:left w:val="none" w:sz="0" w:space="0" w:color="auto"/>
        <w:bottom w:val="none" w:sz="0" w:space="0" w:color="auto"/>
        <w:right w:val="none" w:sz="0" w:space="0" w:color="auto"/>
      </w:divBdr>
    </w:div>
    <w:div w:id="1763791766">
      <w:bodyDiv w:val="1"/>
      <w:marLeft w:val="0"/>
      <w:marRight w:val="0"/>
      <w:marTop w:val="0"/>
      <w:marBottom w:val="0"/>
      <w:divBdr>
        <w:top w:val="none" w:sz="0" w:space="0" w:color="auto"/>
        <w:left w:val="none" w:sz="0" w:space="0" w:color="auto"/>
        <w:bottom w:val="none" w:sz="0" w:space="0" w:color="auto"/>
        <w:right w:val="none" w:sz="0" w:space="0" w:color="auto"/>
      </w:divBdr>
    </w:div>
    <w:div w:id="1825848515">
      <w:bodyDiv w:val="1"/>
      <w:marLeft w:val="0"/>
      <w:marRight w:val="0"/>
      <w:marTop w:val="0"/>
      <w:marBottom w:val="0"/>
      <w:divBdr>
        <w:top w:val="none" w:sz="0" w:space="0" w:color="auto"/>
        <w:left w:val="none" w:sz="0" w:space="0" w:color="auto"/>
        <w:bottom w:val="none" w:sz="0" w:space="0" w:color="auto"/>
        <w:right w:val="none" w:sz="0" w:space="0" w:color="auto"/>
      </w:divBdr>
    </w:div>
    <w:div w:id="18436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21661-E506-4C5A-A4CD-CFF66D2BBEB0}">
  <ds:schemaRefs>
    <ds:schemaRef ds:uri="http://schemas.openxmlformats.org/officeDocument/2006/bibliography"/>
  </ds:schemaRefs>
</ds:datastoreItem>
</file>

<file path=customXml/itemProps2.xml><?xml version="1.0" encoding="utf-8"?>
<ds:datastoreItem xmlns:ds="http://schemas.openxmlformats.org/officeDocument/2006/customXml" ds:itemID="{D002AD06-05E6-43BC-A08D-E18949CB3274}"/>
</file>

<file path=customXml/itemProps3.xml><?xml version="1.0" encoding="utf-8"?>
<ds:datastoreItem xmlns:ds="http://schemas.openxmlformats.org/officeDocument/2006/customXml" ds:itemID="{F4A594A3-D9BB-45CC-B4D0-318FE3EF372A}"/>
</file>

<file path=customXml/itemProps4.xml><?xml version="1.0" encoding="utf-8"?>
<ds:datastoreItem xmlns:ds="http://schemas.openxmlformats.org/officeDocument/2006/customXml" ds:itemID="{EEA70AF3-24F5-4E9E-8930-D0B86F3B0142}"/>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Personal</cp:lastModifiedBy>
  <cp:revision>2</cp:revision>
  <cp:lastPrinted>2020-10-21T02:58:00Z</cp:lastPrinted>
  <dcterms:created xsi:type="dcterms:W3CDTF">2020-10-28T03:53:00Z</dcterms:created>
  <dcterms:modified xsi:type="dcterms:W3CDTF">2020-10-28T03:53:00Z</dcterms:modified>
</cp:coreProperties>
</file>